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E8" w:rsidRPr="008B4030" w:rsidRDefault="002F69B9" w:rsidP="002F69B9">
      <w:pPr>
        <w:pStyle w:val="Heading3"/>
        <w:shd w:val="clear" w:color="auto" w:fill="FFFFFF"/>
        <w:spacing w:after="60"/>
        <w:jc w:val="center"/>
        <w:rPr>
          <w:rFonts w:ascii="Times" w:hAnsi="Times"/>
          <w:bCs/>
          <w:smallCaps/>
          <w:sz w:val="32"/>
          <w:szCs w:val="32"/>
        </w:rPr>
      </w:pPr>
      <w:bookmarkStart w:id="0" w:name="OLE_LINK13"/>
      <w:bookmarkStart w:id="1" w:name="OLE_LINK14"/>
      <w:r>
        <w:rPr>
          <w:rFonts w:ascii="Times" w:hAnsi="Times"/>
          <w:bCs/>
          <w:smallCaps/>
          <w:sz w:val="32"/>
          <w:szCs w:val="32"/>
        </w:rPr>
        <w:t>Using</w:t>
      </w:r>
      <w:r w:rsidR="006E1355">
        <w:rPr>
          <w:rFonts w:ascii="Times" w:hAnsi="Times"/>
          <w:bCs/>
          <w:smallCaps/>
          <w:sz w:val="32"/>
          <w:szCs w:val="32"/>
        </w:rPr>
        <w:t xml:space="preserve"> the</w:t>
      </w:r>
      <w:r>
        <w:rPr>
          <w:rFonts w:ascii="Times" w:hAnsi="Times"/>
          <w:bCs/>
          <w:smallCaps/>
          <w:sz w:val="32"/>
          <w:szCs w:val="32"/>
        </w:rPr>
        <w:t xml:space="preserve"> TABE to Assess Basic Skills</w:t>
      </w:r>
      <w:r w:rsidR="000501CF">
        <w:rPr>
          <w:rFonts w:ascii="Times" w:hAnsi="Times"/>
          <w:bCs/>
          <w:smallCaps/>
          <w:sz w:val="32"/>
          <w:szCs w:val="32"/>
        </w:rPr>
        <w:t xml:space="preserve"> Proficiency</w:t>
      </w:r>
    </w:p>
    <w:bookmarkEnd w:id="0"/>
    <w:bookmarkEnd w:id="1"/>
    <w:p w:rsidR="00E234E8" w:rsidRPr="00CD3E34" w:rsidRDefault="00E234E8" w:rsidP="00E234E8">
      <w:pPr>
        <w:pStyle w:val="Default"/>
      </w:pPr>
    </w:p>
    <w:p w:rsidR="00F12BA1" w:rsidRPr="00CD3E34" w:rsidRDefault="00F12BA1" w:rsidP="00E234E8">
      <w:pPr>
        <w:pStyle w:val="Default"/>
        <w:rPr>
          <w:b/>
          <w:smallCaps/>
        </w:rPr>
      </w:pPr>
    </w:p>
    <w:p w:rsidR="00E234E8" w:rsidRPr="000F7904" w:rsidRDefault="00E234E8" w:rsidP="00E234E8">
      <w:pPr>
        <w:pStyle w:val="Default"/>
        <w:rPr>
          <w:rFonts w:ascii="Times New Roman Bold" w:hAnsi="Times New Roman Bold"/>
          <w:b/>
          <w:sz w:val="32"/>
          <w:szCs w:val="32"/>
        </w:rPr>
      </w:pPr>
      <w:r w:rsidRPr="000F7904">
        <w:rPr>
          <w:rFonts w:ascii="Times New Roman Bold" w:hAnsi="Times New Roman Bold"/>
          <w:b/>
          <w:sz w:val="32"/>
          <w:szCs w:val="32"/>
        </w:rPr>
        <w:t>Background</w:t>
      </w:r>
    </w:p>
    <w:p w:rsidR="00E234E8" w:rsidRDefault="00E234E8" w:rsidP="00E234E8">
      <w:pPr>
        <w:rPr>
          <w:sz w:val="24"/>
          <w:szCs w:val="24"/>
        </w:rPr>
      </w:pPr>
      <w:r w:rsidRPr="009E00E4">
        <w:rPr>
          <w:sz w:val="24"/>
          <w:szCs w:val="24"/>
        </w:rPr>
        <w:t>We use</w:t>
      </w:r>
      <w:r w:rsidR="00374612">
        <w:rPr>
          <w:sz w:val="24"/>
          <w:szCs w:val="24"/>
        </w:rPr>
        <w:t xml:space="preserve"> the Test of Adult Basic Education (T</w:t>
      </w:r>
      <w:r w:rsidRPr="009E00E4">
        <w:rPr>
          <w:sz w:val="24"/>
          <w:szCs w:val="24"/>
        </w:rPr>
        <w:t>ABE</w:t>
      </w:r>
      <w:r w:rsidR="00374612">
        <w:rPr>
          <w:sz w:val="24"/>
          <w:szCs w:val="24"/>
        </w:rPr>
        <w:t>)</w:t>
      </w:r>
      <w:r w:rsidRPr="009E00E4">
        <w:rPr>
          <w:sz w:val="24"/>
          <w:szCs w:val="24"/>
        </w:rPr>
        <w:t xml:space="preserve"> to assess basic skills</w:t>
      </w:r>
      <w:r w:rsidR="00942F13">
        <w:rPr>
          <w:sz w:val="24"/>
          <w:szCs w:val="24"/>
        </w:rPr>
        <w:t xml:space="preserve"> proficiency</w:t>
      </w:r>
      <w:r w:rsidRPr="009E00E4">
        <w:rPr>
          <w:sz w:val="24"/>
          <w:szCs w:val="24"/>
        </w:rPr>
        <w:t xml:space="preserve"> for the following customer groups:</w:t>
      </w:r>
    </w:p>
    <w:p w:rsidR="00374612" w:rsidRPr="009E00E4" w:rsidRDefault="00374612" w:rsidP="00E234E8">
      <w:pPr>
        <w:rPr>
          <w:sz w:val="24"/>
          <w:szCs w:val="24"/>
        </w:rPr>
      </w:pPr>
    </w:p>
    <w:p w:rsidR="00942F13" w:rsidRDefault="00E234E8" w:rsidP="00942F13">
      <w:pPr>
        <w:numPr>
          <w:ilvl w:val="0"/>
          <w:numId w:val="9"/>
        </w:numPr>
        <w:rPr>
          <w:sz w:val="24"/>
          <w:szCs w:val="24"/>
        </w:rPr>
      </w:pPr>
      <w:r w:rsidRPr="009E00E4">
        <w:rPr>
          <w:sz w:val="24"/>
          <w:szCs w:val="24"/>
          <w:u w:val="single"/>
        </w:rPr>
        <w:t>TANF Recipients</w:t>
      </w:r>
      <w:r w:rsidR="00BC336B" w:rsidRPr="009E00E4">
        <w:rPr>
          <w:sz w:val="24"/>
          <w:szCs w:val="24"/>
        </w:rPr>
        <w:t>.</w:t>
      </w:r>
      <w:bookmarkStart w:id="2" w:name="_Toc161038094"/>
      <w:r w:rsidR="004032B4" w:rsidRPr="004032B4">
        <w:t xml:space="preserve"> </w:t>
      </w:r>
      <w:r w:rsidR="004032B4" w:rsidRPr="00CF4C68">
        <w:rPr>
          <w:sz w:val="24"/>
          <w:szCs w:val="24"/>
        </w:rPr>
        <w:t>Administer the TABE to TANF recipients who are working with a PSR</w:t>
      </w:r>
      <w:bookmarkEnd w:id="2"/>
      <w:r w:rsidR="00CF4C68" w:rsidRPr="00CF4C68">
        <w:rPr>
          <w:sz w:val="24"/>
          <w:szCs w:val="24"/>
        </w:rPr>
        <w:t xml:space="preserve"> unless the customer is working at least 30 hours per week, earning at least $700 per month, and receiving the Earned Income Deduction (EID). </w:t>
      </w:r>
    </w:p>
    <w:p w:rsidR="00942F13" w:rsidRDefault="00942F13" w:rsidP="00942F13">
      <w:pPr>
        <w:ind w:left="360"/>
        <w:rPr>
          <w:sz w:val="24"/>
          <w:szCs w:val="24"/>
        </w:rPr>
      </w:pPr>
    </w:p>
    <w:p w:rsidR="00270BE8" w:rsidRPr="009E00E4" w:rsidRDefault="00270BE8" w:rsidP="00BE49F7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Youth ages 14-21</w:t>
      </w:r>
      <w:r>
        <w:rPr>
          <w:sz w:val="24"/>
          <w:szCs w:val="24"/>
        </w:rPr>
        <w:t xml:space="preserve">.  </w:t>
      </w:r>
      <w:r w:rsidR="00CF4C68">
        <w:rPr>
          <w:sz w:val="24"/>
          <w:szCs w:val="24"/>
        </w:rPr>
        <w:t>Administer the TABE to Youth ages 14-</w:t>
      </w:r>
      <w:r w:rsidR="006F15D4">
        <w:rPr>
          <w:sz w:val="24"/>
          <w:szCs w:val="24"/>
        </w:rPr>
        <w:t xml:space="preserve">21 who are high school dropouts or who </w:t>
      </w:r>
      <w:r w:rsidR="00CF4C68">
        <w:rPr>
          <w:sz w:val="24"/>
          <w:szCs w:val="24"/>
        </w:rPr>
        <w:t xml:space="preserve">have a high school diploma or its equivalent.  Administer </w:t>
      </w:r>
      <w:r>
        <w:rPr>
          <w:sz w:val="24"/>
          <w:szCs w:val="24"/>
        </w:rPr>
        <w:t>T</w:t>
      </w:r>
      <w:r w:rsidR="00CF4C68">
        <w:rPr>
          <w:sz w:val="24"/>
          <w:szCs w:val="24"/>
        </w:rPr>
        <w:t xml:space="preserve">ABE to </w:t>
      </w:r>
      <w:r w:rsidR="0056524B">
        <w:rPr>
          <w:sz w:val="24"/>
          <w:szCs w:val="24"/>
        </w:rPr>
        <w:t>y</w:t>
      </w:r>
      <w:r>
        <w:rPr>
          <w:sz w:val="24"/>
          <w:szCs w:val="24"/>
        </w:rPr>
        <w:t xml:space="preserve">outh </w:t>
      </w:r>
      <w:r w:rsidR="00942F13">
        <w:rPr>
          <w:sz w:val="24"/>
          <w:szCs w:val="24"/>
        </w:rPr>
        <w:t xml:space="preserve">attending high school </w:t>
      </w:r>
      <w:r w:rsidR="00CF4C68">
        <w:rPr>
          <w:sz w:val="24"/>
          <w:szCs w:val="24"/>
        </w:rPr>
        <w:t>when the information will be used to help the customer remain in school</w:t>
      </w:r>
      <w:r>
        <w:rPr>
          <w:sz w:val="24"/>
          <w:szCs w:val="24"/>
        </w:rPr>
        <w:t xml:space="preserve">.  </w:t>
      </w:r>
      <w:r w:rsidR="00942F13">
        <w:rPr>
          <w:sz w:val="24"/>
          <w:szCs w:val="24"/>
        </w:rPr>
        <w:t xml:space="preserve">TABE scores are </w:t>
      </w:r>
      <w:r w:rsidR="00BE49F7">
        <w:rPr>
          <w:sz w:val="24"/>
          <w:szCs w:val="24"/>
        </w:rPr>
        <w:t xml:space="preserve">also </w:t>
      </w:r>
      <w:r w:rsidR="00942F13">
        <w:rPr>
          <w:sz w:val="24"/>
          <w:szCs w:val="24"/>
        </w:rPr>
        <w:t xml:space="preserve">used to </w:t>
      </w:r>
      <w:r w:rsidR="00BE49F7">
        <w:rPr>
          <w:sz w:val="24"/>
          <w:szCs w:val="24"/>
        </w:rPr>
        <w:t xml:space="preserve">measure gains in the customer’s </w:t>
      </w:r>
      <w:r w:rsidR="00BE49F7" w:rsidRPr="009E00E4">
        <w:rPr>
          <w:sz w:val="24"/>
          <w:szCs w:val="24"/>
        </w:rPr>
        <w:t>educational functioning level (EFL)</w:t>
      </w:r>
      <w:r w:rsidR="00BE49F7">
        <w:rPr>
          <w:sz w:val="24"/>
          <w:szCs w:val="24"/>
        </w:rPr>
        <w:t xml:space="preserve"> </w:t>
      </w:r>
      <w:r w:rsidR="006E1355">
        <w:rPr>
          <w:sz w:val="24"/>
          <w:szCs w:val="24"/>
        </w:rPr>
        <w:t>for</w:t>
      </w:r>
      <w:r w:rsidR="00942F13" w:rsidRPr="009E00E4">
        <w:rPr>
          <w:sz w:val="24"/>
          <w:szCs w:val="24"/>
        </w:rPr>
        <w:t xml:space="preserve"> the Literacy and Numeracy Gains performance measure. </w:t>
      </w:r>
    </w:p>
    <w:p w:rsidR="009E00E4" w:rsidRPr="009E00E4" w:rsidRDefault="009E00E4" w:rsidP="009E00E4">
      <w:pPr>
        <w:ind w:left="360"/>
        <w:rPr>
          <w:sz w:val="24"/>
          <w:szCs w:val="24"/>
        </w:rPr>
      </w:pPr>
    </w:p>
    <w:p w:rsidR="00E234E8" w:rsidRDefault="00E234E8" w:rsidP="00E234E8">
      <w:pPr>
        <w:numPr>
          <w:ilvl w:val="0"/>
          <w:numId w:val="9"/>
        </w:numPr>
        <w:rPr>
          <w:sz w:val="24"/>
          <w:szCs w:val="24"/>
        </w:rPr>
      </w:pPr>
      <w:r w:rsidRPr="00BC336B">
        <w:rPr>
          <w:sz w:val="24"/>
          <w:szCs w:val="24"/>
          <w:u w:val="single"/>
        </w:rPr>
        <w:t>Other customers</w:t>
      </w:r>
      <w:r w:rsidR="00BC336B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BC336B">
        <w:rPr>
          <w:sz w:val="24"/>
          <w:szCs w:val="24"/>
        </w:rPr>
        <w:t xml:space="preserve"> Use TABE to assess basic skills of other customers w</w:t>
      </w:r>
      <w:r>
        <w:rPr>
          <w:sz w:val="24"/>
          <w:szCs w:val="24"/>
        </w:rPr>
        <w:t>hen information about the customer’s level of</w:t>
      </w:r>
      <w:r w:rsidR="00BC336B">
        <w:rPr>
          <w:sz w:val="24"/>
          <w:szCs w:val="24"/>
        </w:rPr>
        <w:t xml:space="preserve"> basic skills will be helpful in arranging for school or placing the customer in jobs</w:t>
      </w:r>
      <w:r w:rsidR="00BA47C7">
        <w:rPr>
          <w:sz w:val="24"/>
          <w:szCs w:val="24"/>
        </w:rPr>
        <w:t>.</w:t>
      </w:r>
    </w:p>
    <w:p w:rsidR="00374612" w:rsidRDefault="00374612" w:rsidP="00E234E8">
      <w:pPr>
        <w:pStyle w:val="Heading3"/>
        <w:shd w:val="clear" w:color="auto" w:fill="FFFFFF"/>
        <w:spacing w:after="60"/>
        <w:rPr>
          <w:rFonts w:ascii="Times" w:hAnsi="Times"/>
          <w:bCs/>
          <w:smallCaps/>
          <w:sz w:val="32"/>
          <w:szCs w:val="32"/>
        </w:rPr>
      </w:pPr>
    </w:p>
    <w:p w:rsidR="00E234E8" w:rsidRPr="000F7904" w:rsidRDefault="00E234E8" w:rsidP="00E234E8">
      <w:pPr>
        <w:pStyle w:val="Heading3"/>
        <w:shd w:val="clear" w:color="auto" w:fill="FFFFFF"/>
        <w:spacing w:after="60"/>
        <w:rPr>
          <w:rFonts w:ascii="Times" w:hAnsi="Times"/>
          <w:bCs/>
          <w:sz w:val="32"/>
          <w:szCs w:val="32"/>
        </w:rPr>
      </w:pPr>
      <w:r w:rsidRPr="000F7904">
        <w:rPr>
          <w:rFonts w:ascii="Times" w:hAnsi="Times"/>
          <w:bCs/>
          <w:sz w:val="32"/>
          <w:szCs w:val="32"/>
        </w:rPr>
        <w:t>Procedures for Administering TABE</w:t>
      </w:r>
    </w:p>
    <w:p w:rsidR="00BE49F7" w:rsidRDefault="00BE49F7" w:rsidP="00BE49F7">
      <w:pPr>
        <w:pStyle w:val="Default"/>
      </w:pPr>
      <w:r>
        <w:t xml:space="preserve">Use these procedures when administering the TABE tests: </w:t>
      </w:r>
    </w:p>
    <w:p w:rsidR="006E1355" w:rsidRDefault="006E1355" w:rsidP="00BE49F7">
      <w:pPr>
        <w:pStyle w:val="Default"/>
      </w:pPr>
    </w:p>
    <w:p w:rsidR="003F02FE" w:rsidRDefault="001E7C59" w:rsidP="00BE49F7">
      <w:pPr>
        <w:pStyle w:val="Default"/>
        <w:numPr>
          <w:ilvl w:val="0"/>
          <w:numId w:val="6"/>
        </w:numPr>
      </w:pPr>
      <w:r>
        <w:t xml:space="preserve">The Testing and Assessment Specialist or staff person performing the testing and assessment job function </w:t>
      </w:r>
      <w:r w:rsidR="003F02FE">
        <w:t>must attend training and advanced learning practicum for testing and make a passing grade.</w:t>
      </w:r>
    </w:p>
    <w:p w:rsidR="00BE49F7" w:rsidRDefault="00BE49F7" w:rsidP="003F02FE">
      <w:pPr>
        <w:pStyle w:val="Default"/>
        <w:ind w:left="360"/>
      </w:pPr>
    </w:p>
    <w:p w:rsidR="000501CF" w:rsidRDefault="000501CF" w:rsidP="00E234E8">
      <w:pPr>
        <w:pStyle w:val="Default"/>
        <w:numPr>
          <w:ilvl w:val="0"/>
          <w:numId w:val="6"/>
        </w:numPr>
      </w:pPr>
      <w:r>
        <w:t>Use paper and pencil test forms or online versions.  Consult with your management for instructions for scheduling customers for online TABE testing sessions.</w:t>
      </w:r>
    </w:p>
    <w:p w:rsidR="000501CF" w:rsidRDefault="000501CF" w:rsidP="000501CF">
      <w:pPr>
        <w:pStyle w:val="Default"/>
      </w:pPr>
    </w:p>
    <w:p w:rsidR="00E234E8" w:rsidRDefault="00E234E8" w:rsidP="00E234E8">
      <w:pPr>
        <w:pStyle w:val="Default"/>
        <w:numPr>
          <w:ilvl w:val="0"/>
          <w:numId w:val="6"/>
        </w:numPr>
      </w:pPr>
      <w:r>
        <w:t>Use th</w:t>
      </w:r>
      <w:r w:rsidR="002C5857">
        <w:t>e TABE 9&amp;10 survey test forms to assess</w:t>
      </w:r>
      <w:r>
        <w:t xml:space="preserve"> basic skills educational functioning levels. </w:t>
      </w:r>
      <w:r w:rsidR="000F7904">
        <w:t xml:space="preserve"> </w:t>
      </w:r>
    </w:p>
    <w:p w:rsidR="00E234E8" w:rsidRDefault="00E234E8" w:rsidP="00E234E8">
      <w:pPr>
        <w:pStyle w:val="Default"/>
      </w:pPr>
    </w:p>
    <w:p w:rsidR="00E234E8" w:rsidRDefault="00032574" w:rsidP="00E234E8">
      <w:pPr>
        <w:pStyle w:val="Default"/>
        <w:ind w:left="720"/>
      </w:pPr>
      <w:r>
        <w:t>There are</w:t>
      </w:r>
      <w:r w:rsidR="00536A88">
        <w:t xml:space="preserve"> three</w:t>
      </w:r>
      <w:r w:rsidR="00E234E8">
        <w:t xml:space="preserve"> core content areas of TABE: </w:t>
      </w:r>
    </w:p>
    <w:p w:rsidR="00E234E8" w:rsidRDefault="00E234E8" w:rsidP="001E1CC9">
      <w:pPr>
        <w:pStyle w:val="Default"/>
        <w:numPr>
          <w:ilvl w:val="7"/>
          <w:numId w:val="2"/>
        </w:numPr>
        <w:ind w:left="720" w:hanging="360"/>
      </w:pPr>
      <w:r>
        <w:t xml:space="preserve">• Reading </w:t>
      </w:r>
    </w:p>
    <w:p w:rsidR="00E234E8" w:rsidRDefault="00E234E8" w:rsidP="001E1CC9">
      <w:pPr>
        <w:pStyle w:val="Default"/>
        <w:numPr>
          <w:ilvl w:val="5"/>
          <w:numId w:val="2"/>
        </w:numPr>
        <w:ind w:left="720" w:hanging="360"/>
      </w:pPr>
      <w:r>
        <w:t xml:space="preserve">• Total Math (composed of Mathematics Computation and Applied Mathematics) </w:t>
      </w:r>
    </w:p>
    <w:p w:rsidR="00E234E8" w:rsidRDefault="00E234E8" w:rsidP="001E1CC9">
      <w:pPr>
        <w:pStyle w:val="Default"/>
        <w:numPr>
          <w:ilvl w:val="5"/>
          <w:numId w:val="2"/>
        </w:numPr>
        <w:ind w:left="720" w:hanging="360"/>
      </w:pPr>
      <w:r>
        <w:t xml:space="preserve">• Language </w:t>
      </w:r>
    </w:p>
    <w:p w:rsidR="00E234E8" w:rsidRDefault="00E234E8" w:rsidP="00E234E8">
      <w:pPr>
        <w:pStyle w:val="Default"/>
      </w:pPr>
    </w:p>
    <w:p w:rsidR="00E234E8" w:rsidRDefault="00E234E8" w:rsidP="00E234E8">
      <w:pPr>
        <w:pStyle w:val="Default"/>
        <w:ind w:left="720"/>
      </w:pPr>
      <w:r>
        <w:t xml:space="preserve">There are five levels available: </w:t>
      </w:r>
    </w:p>
    <w:p w:rsidR="00E234E8" w:rsidRDefault="00E234E8" w:rsidP="00E234E8">
      <w:pPr>
        <w:pStyle w:val="Default"/>
        <w:numPr>
          <w:ilvl w:val="1"/>
          <w:numId w:val="2"/>
        </w:numPr>
        <w:ind w:left="720" w:hanging="360"/>
      </w:pPr>
      <w:r>
        <w:t>• L (</w:t>
      </w:r>
      <w:r>
        <w:rPr>
          <w:i/>
          <w:iCs/>
        </w:rPr>
        <w:t xml:space="preserve">Literacy – Reading Only, </w:t>
      </w:r>
      <w:r>
        <w:t xml:space="preserve">Grades 0–1.9) </w:t>
      </w:r>
    </w:p>
    <w:p w:rsidR="00E234E8" w:rsidRDefault="00E234E8" w:rsidP="00E234E8">
      <w:pPr>
        <w:pStyle w:val="Default"/>
        <w:numPr>
          <w:ilvl w:val="1"/>
          <w:numId w:val="2"/>
        </w:numPr>
        <w:ind w:left="720" w:hanging="360"/>
      </w:pPr>
      <w:r>
        <w:t>• E (</w:t>
      </w:r>
      <w:r>
        <w:rPr>
          <w:i/>
          <w:iCs/>
        </w:rPr>
        <w:t xml:space="preserve">Easy, </w:t>
      </w:r>
      <w:r>
        <w:t xml:space="preserve">Grades 2.0–3.9) </w:t>
      </w:r>
    </w:p>
    <w:p w:rsidR="00E234E8" w:rsidRDefault="00E234E8" w:rsidP="00E234E8">
      <w:pPr>
        <w:pStyle w:val="Default"/>
        <w:numPr>
          <w:ilvl w:val="1"/>
          <w:numId w:val="2"/>
        </w:numPr>
        <w:ind w:left="720" w:hanging="360"/>
      </w:pPr>
      <w:r>
        <w:t>• M (</w:t>
      </w:r>
      <w:r>
        <w:rPr>
          <w:i/>
          <w:iCs/>
        </w:rPr>
        <w:t xml:space="preserve">Medium, </w:t>
      </w:r>
      <w:r>
        <w:t xml:space="preserve">Grades 4.0–5.9) </w:t>
      </w:r>
    </w:p>
    <w:p w:rsidR="00E234E8" w:rsidRDefault="00E234E8" w:rsidP="00E234E8">
      <w:pPr>
        <w:pStyle w:val="Default"/>
        <w:numPr>
          <w:ilvl w:val="1"/>
          <w:numId w:val="2"/>
        </w:numPr>
        <w:ind w:left="720" w:hanging="360"/>
      </w:pPr>
      <w:r>
        <w:lastRenderedPageBreak/>
        <w:t>• D (</w:t>
      </w:r>
      <w:r>
        <w:rPr>
          <w:i/>
          <w:iCs/>
        </w:rPr>
        <w:t xml:space="preserve">Difficult, </w:t>
      </w:r>
      <w:r>
        <w:t xml:space="preserve">Grades 6.0–8.9) </w:t>
      </w:r>
    </w:p>
    <w:p w:rsidR="00E234E8" w:rsidRDefault="00E234E8" w:rsidP="00E234E8">
      <w:pPr>
        <w:pStyle w:val="Default"/>
        <w:numPr>
          <w:ilvl w:val="1"/>
          <w:numId w:val="2"/>
        </w:numPr>
        <w:ind w:left="720" w:hanging="360"/>
      </w:pPr>
      <w:r>
        <w:t>• A (</w:t>
      </w:r>
      <w:r>
        <w:rPr>
          <w:i/>
          <w:iCs/>
        </w:rPr>
        <w:t xml:space="preserve">Advanced, </w:t>
      </w:r>
      <w:r>
        <w:t xml:space="preserve">Grades 9.0–12.9) </w:t>
      </w:r>
    </w:p>
    <w:p w:rsidR="00E234E8" w:rsidRDefault="00E234E8" w:rsidP="00E234E8">
      <w:pPr>
        <w:pStyle w:val="Default"/>
      </w:pPr>
    </w:p>
    <w:p w:rsidR="00E234E8" w:rsidRDefault="002A0781" w:rsidP="002A0781">
      <w:pPr>
        <w:pStyle w:val="Default"/>
        <w:numPr>
          <w:ilvl w:val="0"/>
          <w:numId w:val="6"/>
        </w:numPr>
      </w:pPr>
      <w:r>
        <w:t xml:space="preserve">Administer the Locator assessment and consult the chart below </w:t>
      </w:r>
      <w:r w:rsidR="00E234E8">
        <w:t xml:space="preserve">to determine the appropriate TABE level to administer. </w:t>
      </w:r>
    </w:p>
    <w:p w:rsidR="002A0781" w:rsidRDefault="002A0781" w:rsidP="00E234E8">
      <w:pPr>
        <w:pStyle w:val="Default"/>
      </w:pPr>
    </w:p>
    <w:tbl>
      <w:tblPr>
        <w:tblW w:w="8396" w:type="dxa"/>
        <w:tblInd w:w="72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638"/>
        <w:gridCol w:w="2250"/>
        <w:gridCol w:w="2181"/>
        <w:gridCol w:w="2327"/>
      </w:tblGrid>
      <w:tr w:rsidR="00E234E8">
        <w:trPr>
          <w:trHeight w:val="267"/>
        </w:trPr>
        <w:tc>
          <w:tcPr>
            <w:tcW w:w="8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16"/>
                <w:szCs w:val="16"/>
              </w:rPr>
              <w:t xml:space="preserve">OCATOR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16"/>
                <w:szCs w:val="16"/>
              </w:rPr>
              <w:t xml:space="preserve">SSESSMENT 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CORES 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VALUATION </w:t>
            </w:r>
            <w:r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16"/>
                <w:szCs w:val="16"/>
              </w:rPr>
              <w:t xml:space="preserve">HART </w:t>
            </w:r>
          </w:p>
        </w:tc>
      </w:tr>
      <w:tr w:rsidR="00E234E8" w:rsidTr="006C75F3">
        <w:trPr>
          <w:trHeight w:val="496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TABE L</w:t>
            </w:r>
            <w:r>
              <w:rPr>
                <w:b/>
                <w:bCs/>
                <w:sz w:val="16"/>
                <w:szCs w:val="16"/>
              </w:rPr>
              <w:t xml:space="preserve">EVEL </w:t>
            </w:r>
          </w:p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TO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16"/>
                <w:szCs w:val="16"/>
              </w:rPr>
              <w:t>DMINISTER</w:t>
            </w:r>
            <w:r>
              <w:rPr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0"/>
                    <w:szCs w:val="20"/>
                  </w:rPr>
                  <w:t>R</w:t>
                </w:r>
                <w:r>
                  <w:rPr>
                    <w:b/>
                    <w:bCs/>
                    <w:sz w:val="16"/>
                    <w:szCs w:val="16"/>
                  </w:rPr>
                  <w:t>EADING</w:t>
                </w:r>
              </w:smartTag>
            </w:smartTag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# C</w:t>
            </w:r>
            <w:r>
              <w:rPr>
                <w:b/>
                <w:bCs/>
                <w:sz w:val="16"/>
                <w:szCs w:val="16"/>
              </w:rPr>
              <w:t xml:space="preserve">ORRECT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>
              <w:rPr>
                <w:b/>
                <w:bCs/>
                <w:sz w:val="16"/>
                <w:szCs w:val="16"/>
              </w:rPr>
              <w:t xml:space="preserve">ATHEMATICS </w:t>
            </w:r>
          </w:p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# C</w:t>
            </w:r>
            <w:r>
              <w:rPr>
                <w:b/>
                <w:bCs/>
                <w:sz w:val="16"/>
                <w:szCs w:val="16"/>
              </w:rPr>
              <w:t xml:space="preserve">ORRECT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16"/>
                <w:szCs w:val="16"/>
              </w:rPr>
              <w:t xml:space="preserve">ANGUAGE </w:t>
            </w:r>
          </w:p>
          <w:p w:rsidR="00E234E8" w:rsidRDefault="00E234E8" w:rsidP="00CD60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# C</w:t>
            </w:r>
            <w:r>
              <w:rPr>
                <w:b/>
                <w:bCs/>
                <w:sz w:val="16"/>
                <w:szCs w:val="16"/>
              </w:rPr>
              <w:t xml:space="preserve">ORRECT </w:t>
            </w:r>
          </w:p>
        </w:tc>
      </w:tr>
      <w:tr w:rsidR="00E234E8" w:rsidTr="006C75F3">
        <w:trPr>
          <w:trHeight w:val="430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6 and below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4–5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6 and below </w:t>
            </w:r>
          </w:p>
        </w:tc>
      </w:tr>
      <w:tr w:rsidR="00E234E8" w:rsidTr="006C75F3">
        <w:trPr>
          <w:trHeight w:val="340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7–8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7–8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7–8 </w:t>
            </w:r>
          </w:p>
        </w:tc>
      </w:tr>
      <w:tr w:rsidR="00E234E8" w:rsidTr="006C75F3">
        <w:trPr>
          <w:trHeight w:val="340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9–10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9–11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9–10 </w:t>
            </w:r>
          </w:p>
        </w:tc>
      </w:tr>
      <w:tr w:rsidR="00E234E8" w:rsidTr="006C75F3">
        <w:trPr>
          <w:trHeight w:val="340"/>
        </w:trPr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11–12 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12–16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4E8" w:rsidRDefault="00E234E8" w:rsidP="00CD60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 9&amp;10: 11–12 </w:t>
            </w:r>
          </w:p>
        </w:tc>
      </w:tr>
    </w:tbl>
    <w:p w:rsidR="00E234E8" w:rsidRDefault="00E234E8" w:rsidP="00E234E8">
      <w:pPr>
        <w:pStyle w:val="Default"/>
        <w:ind w:left="720"/>
        <w:rPr>
          <w:b/>
          <w:bCs/>
          <w:color w:val="auto"/>
        </w:rPr>
      </w:pPr>
    </w:p>
    <w:p w:rsidR="00E234E8" w:rsidRDefault="001E1CC9" w:rsidP="00E234E8">
      <w:pPr>
        <w:pStyle w:val="Default"/>
        <w:ind w:left="720"/>
        <w:rPr>
          <w:color w:val="auto"/>
        </w:rPr>
      </w:pPr>
      <w:r>
        <w:rPr>
          <w:b/>
          <w:bCs/>
          <w:color w:val="auto"/>
        </w:rPr>
        <w:t>*</w:t>
      </w:r>
      <w:r w:rsidR="00E234E8">
        <w:rPr>
          <w:b/>
          <w:bCs/>
          <w:color w:val="auto"/>
        </w:rPr>
        <w:t xml:space="preserve">Note: </w:t>
      </w:r>
      <w:r w:rsidR="00E234E8">
        <w:rPr>
          <w:color w:val="auto"/>
        </w:rPr>
        <w:t>Administer the TABE Level L (</w:t>
      </w:r>
      <w:r w:rsidR="00E234E8">
        <w:rPr>
          <w:i/>
          <w:iCs/>
          <w:color w:val="auto"/>
        </w:rPr>
        <w:t xml:space="preserve">Literacy – Reading </w:t>
      </w:r>
      <w:r>
        <w:rPr>
          <w:i/>
          <w:iCs/>
          <w:color w:val="auto"/>
        </w:rPr>
        <w:t>Only</w:t>
      </w:r>
      <w:r w:rsidR="00E234E8">
        <w:rPr>
          <w:color w:val="auto"/>
        </w:rPr>
        <w:t xml:space="preserve">) for </w:t>
      </w:r>
      <w:r w:rsidR="00CD6018">
        <w:rPr>
          <w:color w:val="auto"/>
        </w:rPr>
        <w:t>customers</w:t>
      </w:r>
      <w:r w:rsidR="00E234E8">
        <w:rPr>
          <w:color w:val="auto"/>
        </w:rPr>
        <w:t xml:space="preserve"> who identify themselves as nonr</w:t>
      </w:r>
      <w:r w:rsidR="00DE4AB1">
        <w:rPr>
          <w:color w:val="auto"/>
        </w:rPr>
        <w:t>eaders or when staff believe</w:t>
      </w:r>
      <w:r w:rsidR="00E234E8">
        <w:rPr>
          <w:color w:val="auto"/>
        </w:rPr>
        <w:t xml:space="preserve"> the customer will have significant difficulty with Level E. </w:t>
      </w:r>
    </w:p>
    <w:p w:rsidR="00E234E8" w:rsidRDefault="00E234E8" w:rsidP="00E234E8">
      <w:pPr>
        <w:pStyle w:val="Default"/>
        <w:ind w:left="720"/>
        <w:rPr>
          <w:color w:val="auto"/>
        </w:rPr>
      </w:pPr>
    </w:p>
    <w:p w:rsidR="00CC0ED8" w:rsidRPr="00CC0ED8" w:rsidRDefault="00CC0ED8" w:rsidP="0037461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vanish/>
          <w:sz w:val="24"/>
          <w:szCs w:val="24"/>
        </w:rPr>
      </w:pPr>
    </w:p>
    <w:p w:rsidR="00CC0ED8" w:rsidRPr="00CC0ED8" w:rsidRDefault="00CC0ED8" w:rsidP="0037461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vanish/>
          <w:sz w:val="24"/>
          <w:szCs w:val="24"/>
        </w:rPr>
      </w:pPr>
    </w:p>
    <w:p w:rsidR="00374612" w:rsidRDefault="00E234E8" w:rsidP="00374612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Once </w:t>
      </w:r>
      <w:r w:rsidR="006E1355">
        <w:rPr>
          <w:color w:val="auto"/>
        </w:rPr>
        <w:t xml:space="preserve">you determine </w:t>
      </w:r>
      <w:r>
        <w:rPr>
          <w:color w:val="auto"/>
        </w:rPr>
        <w:t xml:space="preserve">the appropriate level, administer the </w:t>
      </w:r>
      <w:r>
        <w:rPr>
          <w:i/>
          <w:iCs/>
          <w:color w:val="auto"/>
        </w:rPr>
        <w:t xml:space="preserve">Survey </w:t>
      </w:r>
      <w:r w:rsidR="002C5857">
        <w:rPr>
          <w:color w:val="auto"/>
        </w:rPr>
        <w:t>form</w:t>
      </w:r>
      <w:r w:rsidR="001E1CC9">
        <w:rPr>
          <w:color w:val="auto"/>
        </w:rPr>
        <w:t xml:space="preserve"> </w:t>
      </w:r>
      <w:r w:rsidR="001E1CC9" w:rsidRPr="0028304D">
        <w:rPr>
          <w:color w:val="auto"/>
        </w:rPr>
        <w:t>(for Reading, Mathematics and Language) to</w:t>
      </w:r>
      <w:r w:rsidRPr="0028304D">
        <w:rPr>
          <w:color w:val="auto"/>
        </w:rPr>
        <w:t xml:space="preserve"> the </w:t>
      </w:r>
      <w:r w:rsidR="00CD6018" w:rsidRPr="0028304D">
        <w:rPr>
          <w:color w:val="auto"/>
        </w:rPr>
        <w:t>customer</w:t>
      </w:r>
      <w:r w:rsidR="00CC0ED8" w:rsidRPr="0028304D">
        <w:rPr>
          <w:color w:val="auto"/>
        </w:rPr>
        <w:t>.</w:t>
      </w:r>
      <w:r w:rsidR="001E1CC9" w:rsidRPr="0028304D">
        <w:rPr>
          <w:color w:val="auto"/>
        </w:rPr>
        <w:t xml:space="preserve"> </w:t>
      </w:r>
      <w:r w:rsidR="00CC0ED8" w:rsidRPr="0028304D">
        <w:rPr>
          <w:color w:val="auto"/>
        </w:rPr>
        <w:t xml:space="preserve"> </w:t>
      </w:r>
      <w:r w:rsidRPr="0028304D">
        <w:rPr>
          <w:color w:val="auto"/>
        </w:rPr>
        <w:t xml:space="preserve">If a </w:t>
      </w:r>
      <w:r w:rsidR="00CD6018" w:rsidRPr="0028304D">
        <w:rPr>
          <w:color w:val="auto"/>
        </w:rPr>
        <w:t>customer</w:t>
      </w:r>
      <w:r w:rsidRPr="0028304D">
        <w:rPr>
          <w:color w:val="auto"/>
        </w:rPr>
        <w:t xml:space="preserve"> has been approved for</w:t>
      </w:r>
      <w:r>
        <w:rPr>
          <w:color w:val="auto"/>
        </w:rPr>
        <w:t xml:space="preserve"> accommodations because of a disability, these same accommodations apply to the pre- and post-TABE assessment.</w:t>
      </w:r>
    </w:p>
    <w:p w:rsidR="00374612" w:rsidRDefault="00374612" w:rsidP="00374612">
      <w:pPr>
        <w:pStyle w:val="Default"/>
        <w:ind w:left="360"/>
        <w:rPr>
          <w:color w:val="auto"/>
        </w:rPr>
      </w:pPr>
    </w:p>
    <w:p w:rsidR="00E234E8" w:rsidRDefault="00374612" w:rsidP="00374612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A</w:t>
      </w:r>
      <w:r w:rsidR="00E234E8">
        <w:rPr>
          <w:color w:val="auto"/>
        </w:rPr>
        <w:t>ll levels (L, E, M, D, A) are calibrated on the same scale</w:t>
      </w:r>
      <w:r w:rsidR="007520B3">
        <w:rPr>
          <w:color w:val="auto"/>
        </w:rPr>
        <w:t>,</w:t>
      </w:r>
      <w:r w:rsidR="00E234E8">
        <w:rPr>
          <w:color w:val="auto"/>
        </w:rPr>
        <w:t xml:space="preserve"> therefore, scale score results and grade levels can be compared across levels. </w:t>
      </w:r>
    </w:p>
    <w:p w:rsidR="00374612" w:rsidRDefault="00374612" w:rsidP="00374612">
      <w:pPr>
        <w:pStyle w:val="Default"/>
        <w:rPr>
          <w:color w:val="auto"/>
        </w:rPr>
      </w:pPr>
    </w:p>
    <w:p w:rsidR="00E234E8" w:rsidRDefault="00E234E8" w:rsidP="00E234E8">
      <w:pPr>
        <w:pStyle w:val="Default"/>
        <w:ind w:left="720"/>
        <w:rPr>
          <w:color w:val="auto"/>
        </w:rPr>
      </w:pPr>
      <w:r>
        <w:rPr>
          <w:b/>
          <w:bCs/>
          <w:color w:val="auto"/>
        </w:rPr>
        <w:t xml:space="preserve">Example: </w:t>
      </w:r>
      <w:r>
        <w:rPr>
          <w:color w:val="auto"/>
        </w:rPr>
        <w:t xml:space="preserve">If the Locator assessment places a </w:t>
      </w:r>
      <w:r w:rsidR="00CD6018">
        <w:rPr>
          <w:color w:val="auto"/>
        </w:rPr>
        <w:t xml:space="preserve">customer </w:t>
      </w:r>
      <w:r>
        <w:rPr>
          <w:color w:val="auto"/>
        </w:rPr>
        <w:t>at Level E, th</w:t>
      </w:r>
      <w:r w:rsidR="007520B3">
        <w:rPr>
          <w:color w:val="auto"/>
        </w:rPr>
        <w:t>e</w:t>
      </w:r>
      <w:r>
        <w:rPr>
          <w:color w:val="auto"/>
        </w:rPr>
        <w:t xml:space="preserve"> </w:t>
      </w:r>
      <w:r w:rsidR="00CD6018">
        <w:rPr>
          <w:color w:val="auto"/>
        </w:rPr>
        <w:t>customer</w:t>
      </w:r>
      <w:r>
        <w:rPr>
          <w:color w:val="auto"/>
        </w:rPr>
        <w:t xml:space="preserve"> should be pre-tested with Level E, Form 9 </w:t>
      </w:r>
      <w:r w:rsidR="0056524B">
        <w:rPr>
          <w:color w:val="auto"/>
        </w:rPr>
        <w:t xml:space="preserve">and </w:t>
      </w:r>
      <w:r>
        <w:rPr>
          <w:color w:val="auto"/>
        </w:rPr>
        <w:t xml:space="preserve">then post-tested with: </w:t>
      </w:r>
    </w:p>
    <w:p w:rsidR="00E234E8" w:rsidRDefault="00E234E8" w:rsidP="00E234E8">
      <w:pPr>
        <w:pStyle w:val="Default"/>
        <w:numPr>
          <w:ilvl w:val="0"/>
          <w:numId w:val="3"/>
        </w:numPr>
        <w:ind w:left="1080" w:hanging="360"/>
        <w:rPr>
          <w:color w:val="auto"/>
        </w:rPr>
      </w:pPr>
      <w:r>
        <w:rPr>
          <w:color w:val="auto"/>
        </w:rPr>
        <w:t xml:space="preserve">• Level E, Form 10, if </w:t>
      </w:r>
      <w:r w:rsidR="00CD6018">
        <w:rPr>
          <w:color w:val="auto"/>
        </w:rPr>
        <w:t>customer</w:t>
      </w:r>
      <w:r>
        <w:rPr>
          <w:color w:val="auto"/>
        </w:rPr>
        <w:t xml:space="preserve"> demonstrates minimal progress within his or her period of participation; or </w:t>
      </w:r>
    </w:p>
    <w:p w:rsidR="00E234E8" w:rsidRDefault="00E234E8" w:rsidP="00E234E8">
      <w:pPr>
        <w:pStyle w:val="Default"/>
        <w:numPr>
          <w:ilvl w:val="0"/>
          <w:numId w:val="3"/>
        </w:numPr>
        <w:ind w:left="1080" w:hanging="360"/>
        <w:rPr>
          <w:color w:val="auto"/>
        </w:rPr>
      </w:pPr>
      <w:r>
        <w:rPr>
          <w:color w:val="auto"/>
        </w:rPr>
        <w:t xml:space="preserve">• Level M, Form 9, if </w:t>
      </w:r>
      <w:r w:rsidR="00CD6018">
        <w:rPr>
          <w:color w:val="auto"/>
        </w:rPr>
        <w:t>customer</w:t>
      </w:r>
      <w:r>
        <w:rPr>
          <w:color w:val="auto"/>
        </w:rPr>
        <w:t xml:space="preserve"> demonstrates significant progress within his or her period of participation. </w:t>
      </w:r>
    </w:p>
    <w:p w:rsidR="00E234E8" w:rsidRDefault="00E234E8" w:rsidP="00E234E8">
      <w:pPr>
        <w:pStyle w:val="Default"/>
        <w:rPr>
          <w:color w:val="auto"/>
        </w:rPr>
      </w:pPr>
    </w:p>
    <w:p w:rsidR="00E234E8" w:rsidRDefault="00E234E8" w:rsidP="00E234E8">
      <w:pPr>
        <w:pStyle w:val="Default"/>
        <w:ind w:left="720"/>
        <w:rPr>
          <w:color w:val="auto"/>
        </w:rPr>
      </w:pPr>
      <w:r>
        <w:rPr>
          <w:b/>
          <w:bCs/>
          <w:color w:val="auto"/>
        </w:rPr>
        <w:t xml:space="preserve">Note: </w:t>
      </w:r>
      <w:r>
        <w:rPr>
          <w:color w:val="auto"/>
        </w:rPr>
        <w:t xml:space="preserve">Forms and levels of the test must be alternated accordingly. </w:t>
      </w:r>
    </w:p>
    <w:p w:rsidR="00E234E8" w:rsidRDefault="00E234E8" w:rsidP="00E234E8">
      <w:pPr>
        <w:pStyle w:val="Default"/>
        <w:ind w:left="720"/>
        <w:rPr>
          <w:color w:val="auto"/>
        </w:rPr>
      </w:pPr>
    </w:p>
    <w:p w:rsidR="00E234E8" w:rsidRDefault="00E234E8" w:rsidP="00E234E8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The Mathematics Computation and Applied Mathematics sub-tests must be used together to yield a Total Mathematics score. To compute a Total Mathematics score, the youth must take the same form and level of both the Mathematics Computation test and the Applied Mathematics test. </w:t>
      </w:r>
    </w:p>
    <w:p w:rsidR="00E234E8" w:rsidRDefault="00E234E8" w:rsidP="00E234E8">
      <w:pPr>
        <w:pStyle w:val="Default"/>
        <w:rPr>
          <w:color w:val="auto"/>
        </w:rPr>
      </w:pPr>
    </w:p>
    <w:p w:rsidR="001E1CC9" w:rsidRDefault="0056524B" w:rsidP="00BE49F7">
      <w:pPr>
        <w:pStyle w:val="Default"/>
        <w:numPr>
          <w:ilvl w:val="0"/>
          <w:numId w:val="7"/>
        </w:numPr>
        <w:rPr>
          <w:color w:val="auto"/>
        </w:rPr>
      </w:pPr>
      <w:r>
        <w:rPr>
          <w:color w:val="auto"/>
        </w:rPr>
        <w:t>O</w:t>
      </w:r>
      <w:r w:rsidR="00E234E8">
        <w:rPr>
          <w:color w:val="auto"/>
        </w:rPr>
        <w:t xml:space="preserve">ut-of-school youth determined to be </w:t>
      </w:r>
      <w:r>
        <w:rPr>
          <w:color w:val="auto"/>
        </w:rPr>
        <w:t xml:space="preserve">deficient in </w:t>
      </w:r>
      <w:r w:rsidR="00E234E8">
        <w:rPr>
          <w:color w:val="auto"/>
        </w:rPr>
        <w:t xml:space="preserve">basic skills must </w:t>
      </w:r>
      <w:r>
        <w:rPr>
          <w:color w:val="auto"/>
        </w:rPr>
        <w:t>be post</w:t>
      </w:r>
      <w:r w:rsidR="00E234E8">
        <w:rPr>
          <w:color w:val="auto"/>
        </w:rPr>
        <w:t>-test</w:t>
      </w:r>
      <w:r>
        <w:rPr>
          <w:color w:val="auto"/>
        </w:rPr>
        <w:t>ed</w:t>
      </w:r>
      <w:r w:rsidR="00E234E8">
        <w:rPr>
          <w:color w:val="auto"/>
        </w:rPr>
        <w:t xml:space="preserve"> at least once prior to the one-year anniversary date of the youth’s first WIA youth funded service, or at exit (whichever is earlier), to determine whether the youth made an EFL gain.</w:t>
      </w:r>
    </w:p>
    <w:p w:rsidR="001E1CC9" w:rsidRDefault="001E1CC9" w:rsidP="001E1CC9">
      <w:pPr>
        <w:pStyle w:val="ListParagraph"/>
      </w:pPr>
    </w:p>
    <w:p w:rsidR="00BE49F7" w:rsidRPr="0028304D" w:rsidRDefault="006C75F3" w:rsidP="00BE49F7">
      <w:pPr>
        <w:pStyle w:val="Default"/>
        <w:numPr>
          <w:ilvl w:val="0"/>
          <w:numId w:val="7"/>
        </w:numPr>
        <w:rPr>
          <w:color w:val="auto"/>
        </w:rPr>
      </w:pPr>
      <w:r w:rsidRPr="0028304D">
        <w:rPr>
          <w:color w:val="auto"/>
        </w:rPr>
        <w:lastRenderedPageBreak/>
        <w:t>You may be asked to prescreen customers and refer only those meeting certain criteria (i.e. scoring 9</w:t>
      </w:r>
      <w:r w:rsidRPr="0028304D">
        <w:rPr>
          <w:color w:val="auto"/>
          <w:vertAlign w:val="superscript"/>
        </w:rPr>
        <w:t>th</w:t>
      </w:r>
      <w:r w:rsidRPr="0028304D">
        <w:rPr>
          <w:color w:val="auto"/>
        </w:rPr>
        <w:t xml:space="preserve"> grade or higher on the D Level test).  Follow the normal test instructions and administer the Locator test first.  If the Locator test shows the customer will need to be tested using the E or M level Survey, then the customer does not meet the referral criteria.  There is no need to administer the D Level test.</w:t>
      </w:r>
    </w:p>
    <w:p w:rsidR="00BE49F7" w:rsidRPr="0028304D" w:rsidRDefault="00BE49F7" w:rsidP="00BE49F7">
      <w:pPr>
        <w:pStyle w:val="Default"/>
      </w:pPr>
    </w:p>
    <w:p w:rsidR="00E234E8" w:rsidRPr="0028304D" w:rsidRDefault="00E234E8" w:rsidP="00E234E8">
      <w:pPr>
        <w:pStyle w:val="Default"/>
        <w:rPr>
          <w:color w:val="auto"/>
        </w:rPr>
      </w:pPr>
    </w:p>
    <w:p w:rsidR="00CF5B3D" w:rsidRPr="0028304D" w:rsidRDefault="00CF5B3D" w:rsidP="00CF5B3D">
      <w:pPr>
        <w:pStyle w:val="Default"/>
        <w:rPr>
          <w:rFonts w:ascii="Times New Roman Bold" w:hAnsi="Times New Roman Bold"/>
          <w:b/>
          <w:bCs/>
          <w:color w:val="auto"/>
          <w:sz w:val="32"/>
          <w:szCs w:val="32"/>
        </w:rPr>
      </w:pPr>
      <w:r w:rsidRPr="0028304D">
        <w:rPr>
          <w:rFonts w:ascii="Times New Roman Bold" w:hAnsi="Times New Roman Bold"/>
          <w:b/>
          <w:bCs/>
          <w:color w:val="auto"/>
          <w:sz w:val="32"/>
          <w:szCs w:val="32"/>
        </w:rPr>
        <w:t>Tracking Assessment Service in TWIST</w:t>
      </w:r>
    </w:p>
    <w:p w:rsidR="006C75F3" w:rsidRPr="0028304D" w:rsidRDefault="00CF5B3D" w:rsidP="006C75F3">
      <w:pPr>
        <w:pStyle w:val="Default"/>
      </w:pPr>
      <w:r w:rsidRPr="0028304D">
        <w:t xml:space="preserve">Record the assessment service </w:t>
      </w:r>
      <w:r w:rsidRPr="0028304D">
        <w:rPr>
          <w:i/>
        </w:rPr>
        <w:t>each</w:t>
      </w:r>
      <w:r w:rsidRPr="0028304D">
        <w:t xml:space="preserve"> time the customer is pre or posted with TABE.  Tracking assessment </w:t>
      </w:r>
      <w:r w:rsidR="00AC4AE3" w:rsidRPr="0028304D">
        <w:t>e</w:t>
      </w:r>
      <w:r w:rsidRPr="0028304D">
        <w:t>nsure</w:t>
      </w:r>
      <w:r w:rsidR="00AC4AE3" w:rsidRPr="0028304D">
        <w:t>s</w:t>
      </w:r>
      <w:r w:rsidRPr="0028304D">
        <w:t xml:space="preserve"> the scores are </w:t>
      </w:r>
      <w:r w:rsidR="00AC4AE3" w:rsidRPr="0028304D">
        <w:t xml:space="preserve">included in the common measures for the appropriate performance period.  </w:t>
      </w:r>
    </w:p>
    <w:p w:rsidR="006C75F3" w:rsidRPr="0028304D" w:rsidRDefault="006C75F3" w:rsidP="006C75F3">
      <w:pPr>
        <w:pStyle w:val="Default"/>
      </w:pPr>
    </w:p>
    <w:p w:rsidR="00AC4AE3" w:rsidRPr="0028304D" w:rsidRDefault="00CF5B3D" w:rsidP="006C75F3">
      <w:pPr>
        <w:pStyle w:val="Default"/>
        <w:rPr>
          <w:color w:val="auto"/>
        </w:rPr>
      </w:pPr>
      <w:r w:rsidRPr="0028304D">
        <w:rPr>
          <w:color w:val="auto"/>
        </w:rPr>
        <w:t xml:space="preserve">Enter the </w:t>
      </w:r>
      <w:r w:rsidRPr="0028304D">
        <w:rPr>
          <w:i/>
          <w:color w:val="auto"/>
        </w:rPr>
        <w:t xml:space="preserve">Service Category 2-Assessment/Case Management </w:t>
      </w:r>
      <w:r w:rsidRPr="0028304D">
        <w:rPr>
          <w:color w:val="auto"/>
        </w:rPr>
        <w:t>and enter</w:t>
      </w:r>
      <w:r w:rsidRPr="0028304D">
        <w:rPr>
          <w:i/>
          <w:color w:val="auto"/>
        </w:rPr>
        <w:t xml:space="preserve"> Service code 8-Comprehensive Objective Assessment.</w:t>
      </w:r>
      <w:r w:rsidR="006C75F3" w:rsidRPr="0028304D">
        <w:rPr>
          <w:i/>
          <w:color w:val="auto"/>
        </w:rPr>
        <w:t xml:space="preserve">  </w:t>
      </w:r>
      <w:r w:rsidR="00AC4AE3" w:rsidRPr="0028304D">
        <w:rPr>
          <w:color w:val="auto"/>
        </w:rPr>
        <w:t xml:space="preserve">Assessment is a one-day service.  Enter the start and planned end dates to occur on the same date.  </w:t>
      </w:r>
    </w:p>
    <w:p w:rsidR="00AC4AE3" w:rsidRDefault="00AC4AE3" w:rsidP="00AC4AE3">
      <w:pPr>
        <w:pStyle w:val="Default"/>
        <w:ind w:left="360"/>
        <w:rPr>
          <w:color w:val="auto"/>
        </w:rPr>
      </w:pPr>
    </w:p>
    <w:p w:rsidR="00E234E8" w:rsidRDefault="00E234E8" w:rsidP="00E234E8">
      <w:pPr>
        <w:pStyle w:val="Default"/>
        <w:rPr>
          <w:color w:val="auto"/>
        </w:rPr>
      </w:pPr>
    </w:p>
    <w:p w:rsidR="00E234E8" w:rsidRPr="000F7904" w:rsidRDefault="00E234E8" w:rsidP="00E234E8">
      <w:pPr>
        <w:pStyle w:val="Default"/>
        <w:rPr>
          <w:rFonts w:ascii="Times New Roman Bold" w:hAnsi="Times New Roman Bold"/>
          <w:b/>
          <w:bCs/>
          <w:color w:val="auto"/>
          <w:sz w:val="32"/>
          <w:szCs w:val="32"/>
        </w:rPr>
      </w:pPr>
      <w:r w:rsidRPr="000F7904">
        <w:rPr>
          <w:rFonts w:ascii="Times New Roman Bold" w:hAnsi="Times New Roman Bold"/>
          <w:b/>
          <w:bCs/>
          <w:color w:val="auto"/>
          <w:sz w:val="32"/>
          <w:szCs w:val="32"/>
        </w:rPr>
        <w:t>Recording TABE Scores in TWIST</w:t>
      </w:r>
    </w:p>
    <w:p w:rsidR="00E234E8" w:rsidRDefault="00E234E8" w:rsidP="00E234E8">
      <w:pPr>
        <w:pStyle w:val="Default"/>
        <w:rPr>
          <w:color w:val="auto"/>
        </w:rPr>
      </w:pPr>
      <w:r>
        <w:rPr>
          <w:color w:val="auto"/>
        </w:rPr>
        <w:t xml:space="preserve">Enter </w:t>
      </w:r>
      <w:r w:rsidRPr="00CD3E34">
        <w:rPr>
          <w:b/>
          <w:i/>
          <w:color w:val="auto"/>
        </w:rPr>
        <w:t>scale scores</w:t>
      </w:r>
      <w:r>
        <w:rPr>
          <w:color w:val="auto"/>
        </w:rPr>
        <w:t>, not grade equivalency levels, in TWIST</w:t>
      </w:r>
      <w:r w:rsidR="002A0781" w:rsidRPr="002A0781">
        <w:rPr>
          <w:color w:val="auto"/>
        </w:rPr>
        <w:t xml:space="preserve"> </w:t>
      </w:r>
      <w:r w:rsidR="002A0781">
        <w:rPr>
          <w:color w:val="auto"/>
        </w:rPr>
        <w:t>within 24 hours</w:t>
      </w:r>
      <w:r w:rsidR="007520B3">
        <w:rPr>
          <w:color w:val="auto"/>
        </w:rPr>
        <w:t xml:space="preserve"> of</w:t>
      </w:r>
      <w:r w:rsidR="0056524B">
        <w:rPr>
          <w:color w:val="auto"/>
        </w:rPr>
        <w:t xml:space="preserve"> test completion. </w:t>
      </w:r>
      <w:r>
        <w:rPr>
          <w:color w:val="auto"/>
        </w:rPr>
        <w:t xml:space="preserve">The scale score is the primary score for TABE and is used to compute and derive all other scores, including grade levels. </w:t>
      </w:r>
    </w:p>
    <w:p w:rsidR="005438DB" w:rsidRDefault="005438DB" w:rsidP="0058545D">
      <w:pPr>
        <w:pStyle w:val="Default"/>
        <w:rPr>
          <w:color w:val="auto"/>
        </w:rPr>
      </w:pPr>
    </w:p>
    <w:p w:rsidR="005438DB" w:rsidRDefault="00462EC1" w:rsidP="0058545D">
      <w:pPr>
        <w:pStyle w:val="Default"/>
        <w:rPr>
          <w:color w:val="auto"/>
        </w:rPr>
      </w:pPr>
      <w:r>
        <w:rPr>
          <w:color w:val="auto"/>
        </w:rPr>
        <w:t xml:space="preserve">Steps for </w:t>
      </w:r>
      <w:r w:rsidR="005438DB">
        <w:rPr>
          <w:color w:val="auto"/>
        </w:rPr>
        <w:t>record</w:t>
      </w:r>
      <w:r>
        <w:rPr>
          <w:color w:val="auto"/>
        </w:rPr>
        <w:t>ing</w:t>
      </w:r>
      <w:r w:rsidR="005438DB">
        <w:rPr>
          <w:color w:val="auto"/>
        </w:rPr>
        <w:t xml:space="preserve"> TABE scale scores in TWIST</w:t>
      </w:r>
      <w:r>
        <w:rPr>
          <w:color w:val="auto"/>
        </w:rPr>
        <w:t>:</w:t>
      </w:r>
    </w:p>
    <w:p w:rsidR="007520B3" w:rsidRDefault="007520B3" w:rsidP="0058545D">
      <w:pPr>
        <w:pStyle w:val="Default"/>
        <w:rPr>
          <w:color w:val="auto"/>
        </w:rPr>
      </w:pPr>
    </w:p>
    <w:p w:rsidR="000501CF" w:rsidRDefault="005438DB" w:rsidP="00AC4AE3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From </w:t>
      </w:r>
      <w:r w:rsidRPr="005438DB">
        <w:rPr>
          <w:i/>
          <w:color w:val="auto"/>
        </w:rPr>
        <w:t>Menu Selections</w:t>
      </w:r>
      <w:r w:rsidR="007520B3">
        <w:rPr>
          <w:i/>
          <w:color w:val="auto"/>
        </w:rPr>
        <w:t>,</w:t>
      </w:r>
      <w:r>
        <w:rPr>
          <w:color w:val="auto"/>
        </w:rPr>
        <w:t xml:space="preserve"> select </w:t>
      </w:r>
      <w:r w:rsidRPr="005438DB">
        <w:rPr>
          <w:i/>
          <w:color w:val="auto"/>
        </w:rPr>
        <w:t>Assessment</w:t>
      </w:r>
      <w:r>
        <w:rPr>
          <w:color w:val="auto"/>
        </w:rPr>
        <w:t xml:space="preserve"> to access the </w:t>
      </w:r>
      <w:r w:rsidRPr="005438DB">
        <w:rPr>
          <w:i/>
          <w:color w:val="auto"/>
        </w:rPr>
        <w:t>Testing</w:t>
      </w:r>
      <w:r>
        <w:rPr>
          <w:color w:val="auto"/>
        </w:rPr>
        <w:t xml:space="preserve"> tab.</w:t>
      </w:r>
    </w:p>
    <w:p w:rsidR="000501CF" w:rsidRDefault="000501CF" w:rsidP="000501CF">
      <w:pPr>
        <w:pStyle w:val="Default"/>
        <w:ind w:left="360"/>
        <w:rPr>
          <w:color w:val="auto"/>
        </w:rPr>
      </w:pPr>
    </w:p>
    <w:p w:rsidR="005438DB" w:rsidRDefault="005438DB" w:rsidP="00AC4AE3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In the </w:t>
      </w:r>
      <w:r w:rsidRPr="005438DB">
        <w:rPr>
          <w:i/>
          <w:color w:val="auto"/>
        </w:rPr>
        <w:t>Testing</w:t>
      </w:r>
      <w:r>
        <w:rPr>
          <w:color w:val="auto"/>
        </w:rPr>
        <w:t xml:space="preserve"> screen, right click to </w:t>
      </w:r>
      <w:r w:rsidRPr="005438DB">
        <w:rPr>
          <w:i/>
          <w:color w:val="auto"/>
        </w:rPr>
        <w:t>Add</w:t>
      </w:r>
      <w:r>
        <w:rPr>
          <w:color w:val="auto"/>
        </w:rPr>
        <w:t xml:space="preserve"> a new test record. The test detail screen will open.</w:t>
      </w:r>
    </w:p>
    <w:p w:rsidR="000501CF" w:rsidRDefault="000501CF" w:rsidP="000501CF">
      <w:pPr>
        <w:pStyle w:val="Default"/>
        <w:rPr>
          <w:color w:val="auto"/>
        </w:rPr>
      </w:pPr>
    </w:p>
    <w:p w:rsidR="005438DB" w:rsidRDefault="005438DB" w:rsidP="00AC4AE3">
      <w:pPr>
        <w:pStyle w:val="Default"/>
        <w:numPr>
          <w:ilvl w:val="0"/>
          <w:numId w:val="17"/>
        </w:numPr>
        <w:rPr>
          <w:color w:val="auto"/>
        </w:rPr>
      </w:pPr>
      <w:r>
        <w:rPr>
          <w:color w:val="auto"/>
        </w:rPr>
        <w:t xml:space="preserve">Enter the </w:t>
      </w:r>
      <w:r w:rsidRPr="005438DB">
        <w:rPr>
          <w:i/>
          <w:color w:val="auto"/>
        </w:rPr>
        <w:t>Test Date</w:t>
      </w:r>
      <w:r>
        <w:rPr>
          <w:color w:val="auto"/>
        </w:rPr>
        <w:t>.</w:t>
      </w:r>
    </w:p>
    <w:p w:rsidR="000501CF" w:rsidRDefault="000501CF" w:rsidP="000501CF">
      <w:pPr>
        <w:pStyle w:val="Default"/>
        <w:rPr>
          <w:color w:val="auto"/>
        </w:rPr>
      </w:pPr>
    </w:p>
    <w:p w:rsidR="005438DB" w:rsidRDefault="005438DB" w:rsidP="00AC4AE3">
      <w:pPr>
        <w:pStyle w:val="Default"/>
        <w:numPr>
          <w:ilvl w:val="0"/>
          <w:numId w:val="17"/>
        </w:numPr>
      </w:pPr>
      <w:r>
        <w:rPr>
          <w:color w:val="auto"/>
        </w:rPr>
        <w:t xml:space="preserve">From the </w:t>
      </w:r>
      <w:r w:rsidRPr="005438DB">
        <w:rPr>
          <w:i/>
          <w:color w:val="auto"/>
        </w:rPr>
        <w:t>Pre/Post</w:t>
      </w:r>
      <w:r>
        <w:rPr>
          <w:color w:val="auto"/>
        </w:rPr>
        <w:t xml:space="preserve"> dropdown menu select the appropriate category.</w:t>
      </w:r>
      <w:r>
        <w:t xml:space="preserve">  </w:t>
      </w:r>
      <w:r w:rsidR="00462EC1">
        <w:t>S</w:t>
      </w:r>
      <w:r>
        <w:t xml:space="preserve">elect options </w:t>
      </w:r>
      <w:r>
        <w:rPr>
          <w:i/>
          <w:iCs/>
        </w:rPr>
        <w:t xml:space="preserve">3-Refused Testing </w:t>
      </w:r>
      <w:r>
        <w:t xml:space="preserve">or </w:t>
      </w:r>
      <w:r>
        <w:rPr>
          <w:i/>
          <w:iCs/>
        </w:rPr>
        <w:t xml:space="preserve">6-Unable to Test </w:t>
      </w:r>
      <w:r w:rsidR="00462EC1">
        <w:rPr>
          <w:i/>
          <w:iCs/>
        </w:rPr>
        <w:t xml:space="preserve">when appropriate </w:t>
      </w:r>
      <w:r w:rsidR="00462EC1">
        <w:t xml:space="preserve">and </w:t>
      </w:r>
      <w:r>
        <w:t xml:space="preserve">document the justification in </w:t>
      </w:r>
      <w:r>
        <w:rPr>
          <w:i/>
          <w:iCs/>
        </w:rPr>
        <w:t xml:space="preserve">Counselor Notes. </w:t>
      </w:r>
      <w:r w:rsidR="00462EC1">
        <w:rPr>
          <w:i/>
          <w:iCs/>
        </w:rPr>
        <w:t xml:space="preserve"> Customers who </w:t>
      </w:r>
      <w:r>
        <w:rPr>
          <w:i/>
          <w:iCs/>
        </w:rPr>
        <w:t>Refused Testing</w:t>
      </w:r>
      <w:r w:rsidR="00462EC1">
        <w:rPr>
          <w:i/>
          <w:iCs/>
        </w:rPr>
        <w:t xml:space="preserve"> or who were</w:t>
      </w:r>
      <w:r>
        <w:t xml:space="preserve"> </w:t>
      </w:r>
      <w:r>
        <w:rPr>
          <w:i/>
          <w:iCs/>
        </w:rPr>
        <w:t xml:space="preserve">Unable to Test </w:t>
      </w:r>
      <w:r>
        <w:t>are not exclu</w:t>
      </w:r>
      <w:r w:rsidR="00462EC1">
        <w:t>ded from the literacy and numeracy gains measure</w:t>
      </w:r>
      <w:r>
        <w:t xml:space="preserve">s. </w:t>
      </w:r>
    </w:p>
    <w:p w:rsidR="000501CF" w:rsidRDefault="000501CF" w:rsidP="000501CF">
      <w:pPr>
        <w:pStyle w:val="Default"/>
      </w:pPr>
    </w:p>
    <w:p w:rsidR="005438DB" w:rsidRDefault="005438DB" w:rsidP="00AC4AE3">
      <w:pPr>
        <w:pStyle w:val="Default"/>
        <w:numPr>
          <w:ilvl w:val="0"/>
          <w:numId w:val="17"/>
        </w:numPr>
      </w:pPr>
      <w:r>
        <w:t xml:space="preserve">From the </w:t>
      </w:r>
      <w:r w:rsidRPr="005438DB">
        <w:rPr>
          <w:i/>
        </w:rPr>
        <w:t>Category</w:t>
      </w:r>
      <w:r>
        <w:t xml:space="preserve"> dropdown menu</w:t>
      </w:r>
      <w:r w:rsidR="007520B3">
        <w:t>,</w:t>
      </w:r>
      <w:r>
        <w:t xml:space="preserve"> select “</w:t>
      </w:r>
      <w:r w:rsidRPr="005438DB">
        <w:rPr>
          <w:i/>
        </w:rPr>
        <w:t>ABE</w:t>
      </w:r>
      <w:r>
        <w:t xml:space="preserve">”. </w:t>
      </w:r>
    </w:p>
    <w:p w:rsidR="000501CF" w:rsidRDefault="000501CF" w:rsidP="000501CF">
      <w:pPr>
        <w:pStyle w:val="Default"/>
      </w:pPr>
    </w:p>
    <w:p w:rsidR="005438DB" w:rsidRDefault="005438DB" w:rsidP="00AC4AE3">
      <w:pPr>
        <w:pStyle w:val="Default"/>
        <w:numPr>
          <w:ilvl w:val="0"/>
          <w:numId w:val="17"/>
        </w:numPr>
      </w:pPr>
      <w:r>
        <w:t xml:space="preserve">From the </w:t>
      </w:r>
      <w:r>
        <w:rPr>
          <w:i/>
          <w:iCs/>
        </w:rPr>
        <w:t xml:space="preserve">Test </w:t>
      </w:r>
      <w:r>
        <w:t xml:space="preserve">dropdown menu, select the appropriate test administered. </w:t>
      </w:r>
      <w:r>
        <w:rPr>
          <w:b/>
          <w:bCs/>
        </w:rPr>
        <w:t xml:space="preserve">Note: </w:t>
      </w:r>
      <w:r>
        <w:t xml:space="preserve">The </w:t>
      </w:r>
      <w:r>
        <w:rPr>
          <w:i/>
          <w:iCs/>
        </w:rPr>
        <w:t xml:space="preserve">TABE Form </w:t>
      </w:r>
      <w:r>
        <w:t xml:space="preserve">field is only applicable when </w:t>
      </w:r>
      <w:r>
        <w:rPr>
          <w:i/>
          <w:iCs/>
        </w:rPr>
        <w:t>TABE 7-8,</w:t>
      </w:r>
      <w:r w:rsidR="007520B3">
        <w:rPr>
          <w:i/>
          <w:iCs/>
        </w:rPr>
        <w:t xml:space="preserve"> </w:t>
      </w:r>
      <w:r>
        <w:rPr>
          <w:i/>
          <w:iCs/>
        </w:rPr>
        <w:t xml:space="preserve">9-10 </w:t>
      </w:r>
      <w:r>
        <w:t xml:space="preserve">has been selected. </w:t>
      </w:r>
    </w:p>
    <w:p w:rsidR="000501CF" w:rsidRDefault="000501CF" w:rsidP="000501CF">
      <w:pPr>
        <w:pStyle w:val="Default"/>
      </w:pPr>
    </w:p>
    <w:p w:rsidR="005438DB" w:rsidRPr="000501CF" w:rsidRDefault="005438DB" w:rsidP="00AC4AE3">
      <w:pPr>
        <w:pStyle w:val="Default"/>
        <w:numPr>
          <w:ilvl w:val="0"/>
          <w:numId w:val="17"/>
        </w:numPr>
      </w:pPr>
      <w:r>
        <w:t xml:space="preserve">Select the appropriate </w:t>
      </w:r>
      <w:r>
        <w:rPr>
          <w:i/>
          <w:iCs/>
        </w:rPr>
        <w:t xml:space="preserve">Functional Area. </w:t>
      </w:r>
    </w:p>
    <w:p w:rsidR="000501CF" w:rsidRDefault="000501CF" w:rsidP="000501CF">
      <w:pPr>
        <w:pStyle w:val="Default"/>
      </w:pPr>
    </w:p>
    <w:p w:rsidR="005438DB" w:rsidRPr="000501CF" w:rsidRDefault="005438DB" w:rsidP="00AC4AE3">
      <w:pPr>
        <w:pStyle w:val="Default"/>
        <w:numPr>
          <w:ilvl w:val="0"/>
          <w:numId w:val="17"/>
        </w:numPr>
      </w:pPr>
      <w:r>
        <w:t xml:space="preserve">Select the appropriate </w:t>
      </w:r>
      <w:r>
        <w:rPr>
          <w:i/>
          <w:iCs/>
        </w:rPr>
        <w:t>TABE Form.</w:t>
      </w:r>
    </w:p>
    <w:p w:rsidR="000501CF" w:rsidRPr="005438DB" w:rsidRDefault="000501CF" w:rsidP="000501CF">
      <w:pPr>
        <w:pStyle w:val="Default"/>
      </w:pPr>
    </w:p>
    <w:p w:rsidR="005438DB" w:rsidRDefault="005438DB" w:rsidP="00AC4AE3">
      <w:pPr>
        <w:pStyle w:val="Default"/>
        <w:numPr>
          <w:ilvl w:val="0"/>
          <w:numId w:val="17"/>
        </w:numPr>
      </w:pPr>
      <w:r>
        <w:lastRenderedPageBreak/>
        <w:t xml:space="preserve">Enter the </w:t>
      </w:r>
      <w:r>
        <w:rPr>
          <w:i/>
          <w:iCs/>
        </w:rPr>
        <w:t xml:space="preserve">Scale Score. </w:t>
      </w:r>
      <w:r>
        <w:t xml:space="preserve"> The </w:t>
      </w:r>
      <w:r>
        <w:rPr>
          <w:i/>
          <w:iCs/>
        </w:rPr>
        <w:t xml:space="preserve">Grade Level </w:t>
      </w:r>
      <w:r>
        <w:t xml:space="preserve">and </w:t>
      </w:r>
      <w:r>
        <w:rPr>
          <w:i/>
          <w:iCs/>
        </w:rPr>
        <w:t xml:space="preserve">EFL </w:t>
      </w:r>
      <w:r>
        <w:t xml:space="preserve">will automatically compute and populate once the </w:t>
      </w:r>
      <w:r>
        <w:rPr>
          <w:i/>
          <w:iCs/>
        </w:rPr>
        <w:t xml:space="preserve">Scale Score </w:t>
      </w:r>
      <w:r>
        <w:t xml:space="preserve">is entered. </w:t>
      </w:r>
    </w:p>
    <w:p w:rsidR="000501CF" w:rsidRDefault="000501CF" w:rsidP="000501CF">
      <w:pPr>
        <w:pStyle w:val="Default"/>
      </w:pPr>
    </w:p>
    <w:p w:rsidR="005438DB" w:rsidRDefault="005438DB" w:rsidP="00AC4AE3">
      <w:pPr>
        <w:pStyle w:val="Default"/>
        <w:numPr>
          <w:ilvl w:val="0"/>
          <w:numId w:val="17"/>
        </w:numPr>
      </w:pPr>
      <w:r>
        <w:t xml:space="preserve">Click the </w:t>
      </w:r>
      <w:r>
        <w:rPr>
          <w:i/>
          <w:iCs/>
        </w:rPr>
        <w:t xml:space="preserve">OK </w:t>
      </w:r>
      <w:r>
        <w:t xml:space="preserve">button. </w:t>
      </w:r>
    </w:p>
    <w:p w:rsidR="00057060" w:rsidRDefault="00057060" w:rsidP="00057060">
      <w:pPr>
        <w:pStyle w:val="ListParagraph"/>
      </w:pPr>
    </w:p>
    <w:p w:rsidR="0092073E" w:rsidRDefault="0092073E" w:rsidP="0092073E">
      <w:pPr>
        <w:rPr>
          <w:rFonts w:ascii="Times" w:hAnsi="Times"/>
          <w:sz w:val="24"/>
          <w:szCs w:val="24"/>
        </w:rPr>
      </w:pPr>
    </w:p>
    <w:p w:rsidR="00E234E8" w:rsidRPr="00462EC1" w:rsidRDefault="00E234E8" w:rsidP="00462EC1">
      <w:pPr>
        <w:pStyle w:val="Default"/>
        <w:rPr>
          <w:rFonts w:ascii="Times" w:hAnsi="Times"/>
          <w:b/>
          <w:sz w:val="32"/>
          <w:szCs w:val="32"/>
        </w:rPr>
      </w:pPr>
      <w:r w:rsidRPr="00462EC1">
        <w:rPr>
          <w:rFonts w:ascii="Times" w:hAnsi="Times"/>
          <w:b/>
          <w:sz w:val="32"/>
          <w:szCs w:val="32"/>
        </w:rPr>
        <w:t>Testing Customers Who Have Disabilities</w:t>
      </w:r>
    </w:p>
    <w:p w:rsidR="00E234E8" w:rsidRDefault="00A97388" w:rsidP="00E234E8">
      <w:pPr>
        <w:pStyle w:val="Default"/>
      </w:pPr>
      <w:r>
        <w:t>When administering the TABE to a c</w:t>
      </w:r>
      <w:r w:rsidR="00E234E8">
        <w:t>ustomer</w:t>
      </w:r>
      <w:r>
        <w:t xml:space="preserve"> who has a </w:t>
      </w:r>
      <w:r w:rsidR="00E234E8" w:rsidRPr="007D390E">
        <w:t>disabilit</w:t>
      </w:r>
      <w:r>
        <w:t>y</w:t>
      </w:r>
      <w:r w:rsidR="007520B3">
        <w:t>,</w:t>
      </w:r>
      <w:r w:rsidR="00E234E8" w:rsidRPr="007D390E">
        <w:t xml:space="preserve"> </w:t>
      </w:r>
      <w:r w:rsidR="00CA0CD8">
        <w:t>Workforce Solutions</w:t>
      </w:r>
      <w:r>
        <w:t xml:space="preserve"> staff will provide reasonable accommodations</w:t>
      </w:r>
      <w:r w:rsidR="00E234E8">
        <w:t>, as appropriate.  Reasonable accommodations</w:t>
      </w:r>
      <w:r>
        <w:t xml:space="preserve"> may include:</w:t>
      </w:r>
    </w:p>
    <w:p w:rsidR="007520B3" w:rsidRDefault="007520B3" w:rsidP="00E234E8">
      <w:pPr>
        <w:pStyle w:val="Default"/>
      </w:pPr>
    </w:p>
    <w:p w:rsidR="00E234E8" w:rsidRDefault="00A97388" w:rsidP="007520B3">
      <w:pPr>
        <w:pStyle w:val="Default"/>
        <w:numPr>
          <w:ilvl w:val="0"/>
          <w:numId w:val="4"/>
        </w:numPr>
        <w:spacing w:after="60"/>
      </w:pPr>
      <w:r>
        <w:t>A change to t</w:t>
      </w:r>
      <w:r w:rsidR="00E234E8">
        <w:t>he method of present</w:t>
      </w:r>
      <w:r>
        <w:t>ing</w:t>
      </w:r>
      <w:r w:rsidR="00E234E8">
        <w:t xml:space="preserve"> the </w:t>
      </w:r>
      <w:r>
        <w:t>TABE</w:t>
      </w:r>
      <w:r w:rsidR="00E234E8">
        <w:t>. For example: providing Braille versions of the test, or orally reading the directions or test questions to test-takers;</w:t>
      </w:r>
    </w:p>
    <w:p w:rsidR="00E234E8" w:rsidRDefault="00A97388" w:rsidP="007520B3">
      <w:pPr>
        <w:pStyle w:val="Default"/>
        <w:numPr>
          <w:ilvl w:val="0"/>
          <w:numId w:val="4"/>
        </w:numPr>
        <w:spacing w:after="60"/>
      </w:pPr>
      <w:r>
        <w:t>A change to t</w:t>
      </w:r>
      <w:r w:rsidR="00E234E8">
        <w:t>he method of response to the test questions. For example: having the test-taker point to a response or use a computer for responding;</w:t>
      </w:r>
    </w:p>
    <w:p w:rsidR="00E234E8" w:rsidRDefault="00A97388" w:rsidP="007520B3">
      <w:pPr>
        <w:pStyle w:val="Default"/>
        <w:numPr>
          <w:ilvl w:val="0"/>
          <w:numId w:val="4"/>
        </w:numPr>
        <w:spacing w:after="60"/>
      </w:pPr>
      <w:r>
        <w:t>A change to t</w:t>
      </w:r>
      <w:r w:rsidR="00E234E8">
        <w:t xml:space="preserve">he setting in which the test is provided. For example: permitting the test to be taken at home, or in small groups, rather than in a large-group or institutional setting; and </w:t>
      </w:r>
    </w:p>
    <w:p w:rsidR="00E234E8" w:rsidRDefault="00A97388" w:rsidP="00E234E8">
      <w:pPr>
        <w:pStyle w:val="Default"/>
        <w:numPr>
          <w:ilvl w:val="0"/>
          <w:numId w:val="4"/>
        </w:numPr>
      </w:pPr>
      <w:r>
        <w:t>A change to t</w:t>
      </w:r>
      <w:r w:rsidR="00E234E8">
        <w:t xml:space="preserve">he timing/scheduling of the test. For example: extending the amount of time generally provided for completion of the test or permitting frequent breaks. </w:t>
      </w:r>
    </w:p>
    <w:p w:rsidR="00A97388" w:rsidRDefault="00A97388" w:rsidP="00A97388">
      <w:pPr>
        <w:pStyle w:val="Heading5"/>
        <w:spacing w:before="0" w:after="0"/>
        <w:ind w:left="360" w:right="-360"/>
        <w:rPr>
          <w:sz w:val="24"/>
          <w:szCs w:val="24"/>
        </w:rPr>
      </w:pPr>
    </w:p>
    <w:p w:rsidR="00A97388" w:rsidRPr="007053D8" w:rsidRDefault="007520B3" w:rsidP="002079A8">
      <w:pPr>
        <w:pStyle w:val="Heading5"/>
        <w:spacing w:before="0" w:after="0"/>
        <w:ind w:right="-36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Using t</w:t>
      </w:r>
      <w:r w:rsidR="00A97388" w:rsidRPr="007053D8">
        <w:rPr>
          <w:b w:val="0"/>
          <w:i w:val="0"/>
          <w:sz w:val="24"/>
          <w:szCs w:val="24"/>
        </w:rPr>
        <w:t xml:space="preserve">he </w:t>
      </w:r>
      <w:r>
        <w:rPr>
          <w:b w:val="0"/>
          <w:i w:val="0"/>
          <w:sz w:val="24"/>
          <w:szCs w:val="24"/>
        </w:rPr>
        <w:t xml:space="preserve">appropriate </w:t>
      </w:r>
      <w:r w:rsidR="00A97388" w:rsidRPr="007053D8">
        <w:rPr>
          <w:b w:val="0"/>
          <w:i w:val="0"/>
          <w:sz w:val="24"/>
          <w:szCs w:val="24"/>
        </w:rPr>
        <w:t>test</w:t>
      </w:r>
      <w:r>
        <w:rPr>
          <w:b w:val="0"/>
          <w:i w:val="0"/>
          <w:sz w:val="24"/>
          <w:szCs w:val="24"/>
        </w:rPr>
        <w:t xml:space="preserve"> </w:t>
      </w:r>
      <w:r w:rsidR="00A97388" w:rsidRPr="007053D8">
        <w:rPr>
          <w:b w:val="0"/>
          <w:i w:val="0"/>
          <w:sz w:val="24"/>
          <w:szCs w:val="24"/>
        </w:rPr>
        <w:t>combin</w:t>
      </w:r>
      <w:r>
        <w:rPr>
          <w:b w:val="0"/>
          <w:i w:val="0"/>
          <w:sz w:val="24"/>
          <w:szCs w:val="24"/>
        </w:rPr>
        <w:t>ed</w:t>
      </w:r>
      <w:r w:rsidR="00A97388" w:rsidRPr="007053D8">
        <w:rPr>
          <w:b w:val="0"/>
          <w:i w:val="0"/>
          <w:sz w:val="24"/>
          <w:szCs w:val="24"/>
        </w:rPr>
        <w:t xml:space="preserve"> with appropriate accommodations or modifications, </w:t>
      </w:r>
      <w:r>
        <w:rPr>
          <w:b w:val="0"/>
          <w:i w:val="0"/>
          <w:sz w:val="24"/>
          <w:szCs w:val="24"/>
        </w:rPr>
        <w:t>helps us</w:t>
      </w:r>
      <w:r w:rsidR="00A97388" w:rsidRPr="007053D8">
        <w:rPr>
          <w:b w:val="0"/>
          <w:i w:val="0"/>
          <w:sz w:val="24"/>
          <w:szCs w:val="24"/>
        </w:rPr>
        <w:t xml:space="preserve"> provide a valid and reliable evaluation of the </w:t>
      </w:r>
      <w:r>
        <w:rPr>
          <w:b w:val="0"/>
          <w:i w:val="0"/>
          <w:sz w:val="24"/>
          <w:szCs w:val="24"/>
        </w:rPr>
        <w:t xml:space="preserve">customer’s </w:t>
      </w:r>
      <w:r w:rsidR="00A97388" w:rsidRPr="007053D8">
        <w:rPr>
          <w:b w:val="0"/>
          <w:i w:val="0"/>
          <w:sz w:val="24"/>
          <w:szCs w:val="24"/>
        </w:rPr>
        <w:t>knowledge, skills, abilities, and/or interests.  If the nature or extent of a particular customer’s disability, or the limitations of the test itself, prevent the test from providing a valid or reliable evaluation in a particular case, an alternate test or assessment tool must be offered.</w:t>
      </w:r>
    </w:p>
    <w:p w:rsidR="00E234E8" w:rsidRDefault="00E234E8" w:rsidP="00E234E8">
      <w:pPr>
        <w:pStyle w:val="Default"/>
      </w:pPr>
    </w:p>
    <w:p w:rsidR="000501CF" w:rsidRDefault="000501CF" w:rsidP="00E234E8">
      <w:pPr>
        <w:pStyle w:val="Default"/>
      </w:pPr>
    </w:p>
    <w:p w:rsidR="000F7904" w:rsidRPr="000F7904" w:rsidRDefault="000F7904" w:rsidP="000F7904">
      <w:pPr>
        <w:rPr>
          <w:rFonts w:ascii="Times" w:hAnsi="Times"/>
          <w:b/>
          <w:sz w:val="32"/>
          <w:szCs w:val="32"/>
        </w:rPr>
      </w:pPr>
      <w:r w:rsidRPr="000F7904">
        <w:rPr>
          <w:rFonts w:ascii="Times" w:hAnsi="Times"/>
          <w:b/>
          <w:sz w:val="32"/>
          <w:szCs w:val="32"/>
        </w:rPr>
        <w:t>Filing Test Information</w:t>
      </w:r>
    </w:p>
    <w:p w:rsidR="00E234E8" w:rsidRPr="00AC28C2" w:rsidRDefault="000F7904" w:rsidP="00AC4AE3">
      <w:pPr>
        <w:pStyle w:val="Heading5"/>
        <w:spacing w:before="0" w:after="0"/>
        <w:ind w:right="-360"/>
      </w:pPr>
      <w:r w:rsidRPr="007053D8">
        <w:rPr>
          <w:rFonts w:ascii="Times" w:hAnsi="Times"/>
          <w:b w:val="0"/>
          <w:i w:val="0"/>
          <w:sz w:val="24"/>
          <w:szCs w:val="24"/>
        </w:rPr>
        <w:t xml:space="preserve">File the TABE test forms and/or printouts of the TABE test answers and scores in the customer’s paper file. </w:t>
      </w:r>
      <w:r w:rsidRPr="007053D8">
        <w:rPr>
          <w:b w:val="0"/>
          <w:i w:val="0"/>
          <w:sz w:val="24"/>
          <w:szCs w:val="24"/>
        </w:rPr>
        <w:t xml:space="preserve"> If the customer has a disability </w:t>
      </w:r>
      <w:r>
        <w:rPr>
          <w:b w:val="0"/>
          <w:i w:val="0"/>
          <w:sz w:val="24"/>
          <w:szCs w:val="24"/>
        </w:rPr>
        <w:t xml:space="preserve">and </w:t>
      </w:r>
      <w:r w:rsidRPr="007053D8">
        <w:rPr>
          <w:b w:val="0"/>
          <w:i w:val="0"/>
          <w:sz w:val="24"/>
          <w:szCs w:val="24"/>
        </w:rPr>
        <w:t>was provided with accommodations for the testing/assessment process</w:t>
      </w:r>
      <w:r w:rsidR="007520B3">
        <w:rPr>
          <w:b w:val="0"/>
          <w:i w:val="0"/>
          <w:sz w:val="24"/>
          <w:szCs w:val="24"/>
        </w:rPr>
        <w:t>,</w:t>
      </w:r>
      <w:r w:rsidRPr="007053D8">
        <w:rPr>
          <w:b w:val="0"/>
          <w:i w:val="0"/>
          <w:sz w:val="24"/>
          <w:szCs w:val="24"/>
        </w:rPr>
        <w:t xml:space="preserve"> the test results must be stored in a separate file, apart from any other information about the customer, and access to the results must be limited, as </w:t>
      </w:r>
      <w:r w:rsidR="007520B3">
        <w:rPr>
          <w:b w:val="0"/>
          <w:i w:val="0"/>
          <w:sz w:val="24"/>
          <w:szCs w:val="24"/>
        </w:rPr>
        <w:t xml:space="preserve">we do </w:t>
      </w:r>
      <w:r w:rsidRPr="007053D8">
        <w:rPr>
          <w:b w:val="0"/>
          <w:i w:val="0"/>
          <w:sz w:val="24"/>
          <w:szCs w:val="24"/>
        </w:rPr>
        <w:t>for all medical or disability-related information about a particular individual.</w:t>
      </w:r>
    </w:p>
    <w:sectPr w:rsidR="00E234E8" w:rsidRPr="00AC28C2" w:rsidSect="00CD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7A" w:rsidRDefault="007B477A">
      <w:r>
        <w:separator/>
      </w:r>
    </w:p>
  </w:endnote>
  <w:endnote w:type="continuationSeparator" w:id="0">
    <w:p w:rsidR="007B477A" w:rsidRDefault="007B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8" w:rsidRDefault="00CA0C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C9" w:rsidRDefault="001E1CC9" w:rsidP="00F12BA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Expanded Services Standard </w:t>
    </w:r>
    <w:r>
      <w:rPr>
        <w:sz w:val="16"/>
      </w:rPr>
      <w:tab/>
    </w:r>
    <w:r>
      <w:rPr>
        <w:sz w:val="16"/>
      </w:rPr>
      <w:tab/>
      <w:t xml:space="preserve">Reissued:  </w:t>
    </w:r>
    <w:r w:rsidR="00A93F70">
      <w:rPr>
        <w:sz w:val="16"/>
      </w:rPr>
      <w:t>May 7</w:t>
    </w:r>
    <w:r>
      <w:rPr>
        <w:sz w:val="16"/>
      </w:rPr>
      <w:t>, 2009</w:t>
    </w:r>
  </w:p>
  <w:p w:rsidR="001E1CC9" w:rsidRDefault="001E1CC9" w:rsidP="00F12BA1">
    <w:pPr>
      <w:pStyle w:val="Footer"/>
      <w:pBdr>
        <w:top w:val="single" w:sz="4" w:space="1" w:color="auto"/>
      </w:pBdr>
      <w:rPr>
        <w:sz w:val="16"/>
      </w:rPr>
    </w:pPr>
    <w:r>
      <w:rPr>
        <w:sz w:val="16"/>
      </w:rPr>
      <w:t xml:space="preserve">VII. Information Resources for Staff </w:t>
    </w:r>
    <w:r>
      <w:rPr>
        <w:sz w:val="16"/>
      </w:rPr>
      <w:tab/>
    </w:r>
    <w:r>
      <w:rPr>
        <w:sz w:val="16"/>
      </w:rPr>
      <w:tab/>
      <w:t xml:space="preserve">Page </w:t>
    </w:r>
    <w:r w:rsidR="00DE2B7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E2B73">
      <w:rPr>
        <w:rStyle w:val="PageNumber"/>
      </w:rPr>
      <w:fldChar w:fldCharType="separate"/>
    </w:r>
    <w:r w:rsidR="00CA0CD8">
      <w:rPr>
        <w:rStyle w:val="PageNumber"/>
        <w:noProof/>
      </w:rPr>
      <w:t>4</w:t>
    </w:r>
    <w:r w:rsidR="00DE2B73">
      <w:rPr>
        <w:rStyle w:val="PageNumber"/>
      </w:rPr>
      <w:fldChar w:fldCharType="end"/>
    </w:r>
    <w:r>
      <w:rPr>
        <w:rStyle w:val="PageNumber"/>
      </w:rPr>
      <w:t xml:space="preserve"> of </w:t>
    </w:r>
    <w:r w:rsidR="00DE2B73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DE2B73">
      <w:rPr>
        <w:rStyle w:val="PageNumber"/>
      </w:rPr>
      <w:fldChar w:fldCharType="separate"/>
    </w:r>
    <w:r w:rsidR="00CA0CD8">
      <w:rPr>
        <w:rStyle w:val="PageNumber"/>
        <w:noProof/>
      </w:rPr>
      <w:t>4</w:t>
    </w:r>
    <w:r w:rsidR="00DE2B73">
      <w:rPr>
        <w:rStyle w:val="PageNumber"/>
      </w:rPr>
      <w:fldChar w:fldCharType="end"/>
    </w:r>
  </w:p>
  <w:p w:rsidR="001E1CC9" w:rsidRDefault="001E1CC9">
    <w:pPr>
      <w:pStyle w:val="Footer"/>
      <w:tabs>
        <w:tab w:val="clear" w:pos="4320"/>
        <w:tab w:val="clear" w:pos="8640"/>
        <w:tab w:val="right" w:pos="9360"/>
      </w:tabs>
      <w:rPr>
        <w:rStyle w:val="PageNumber"/>
        <w:rFonts w:ascii="CG Times" w:hAnsi="CG Times"/>
        <w:smallCaps/>
      </w:rPr>
    </w:pPr>
    <w:r>
      <w:rPr>
        <w:rFonts w:ascii="CG Times" w:hAnsi="CG Times"/>
        <w:smallCaps/>
      </w:rPr>
      <w:t xml:space="preserve">A.1. </w:t>
    </w:r>
    <w:r w:rsidRPr="00F12BA1">
      <w:t>Using TABE to Assess Basic Skills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8" w:rsidRDefault="00CA0C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7A" w:rsidRDefault="007B477A">
      <w:r>
        <w:separator/>
      </w:r>
    </w:p>
  </w:footnote>
  <w:footnote w:type="continuationSeparator" w:id="0">
    <w:p w:rsidR="007B477A" w:rsidRDefault="007B4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8" w:rsidRDefault="00CA0C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8" w:rsidRDefault="00CA0C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D8" w:rsidRDefault="00CA0C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9B48FF"/>
    <w:multiLevelType w:val="hybridMultilevel"/>
    <w:tmpl w:val="B3011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693388"/>
    <w:multiLevelType w:val="hybridMultilevel"/>
    <w:tmpl w:val="D67C0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17986"/>
    <w:multiLevelType w:val="multilevel"/>
    <w:tmpl w:val="05F0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1862D4"/>
    <w:multiLevelType w:val="hybridMultilevel"/>
    <w:tmpl w:val="5B02D75C"/>
    <w:lvl w:ilvl="0" w:tplc="7DDE2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AA27AF5"/>
    <w:multiLevelType w:val="hybridMultilevel"/>
    <w:tmpl w:val="A4061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F6A17"/>
    <w:multiLevelType w:val="hybridMultilevel"/>
    <w:tmpl w:val="CF94E0EA"/>
    <w:lvl w:ilvl="0" w:tplc="10EA5D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96199"/>
    <w:multiLevelType w:val="hybridMultilevel"/>
    <w:tmpl w:val="05F006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D3D35"/>
    <w:multiLevelType w:val="hybridMultilevel"/>
    <w:tmpl w:val="BEC295E6"/>
    <w:lvl w:ilvl="0" w:tplc="51186C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897558"/>
    <w:multiLevelType w:val="hybridMultilevel"/>
    <w:tmpl w:val="C096B97E"/>
    <w:lvl w:ilvl="0" w:tplc="3CCE2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F932D9"/>
    <w:multiLevelType w:val="hybridMultilevel"/>
    <w:tmpl w:val="EB4C5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299C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31C440E">
      <w:start w:val="1"/>
      <w:numFmt w:val="decimal"/>
      <w:lvlText w:val="(%5)"/>
      <w:lvlJc w:val="left"/>
      <w:pPr>
        <w:tabs>
          <w:tab w:val="num" w:pos="3630"/>
        </w:tabs>
        <w:ind w:left="3630" w:hanging="39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06D5E"/>
    <w:multiLevelType w:val="multilevel"/>
    <w:tmpl w:val="841C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CD7ECD"/>
    <w:multiLevelType w:val="hybridMultilevel"/>
    <w:tmpl w:val="841C90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50"/>
        </w:tabs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10"/>
        </w:tabs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0"/>
        </w:tabs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70"/>
        </w:tabs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90"/>
        </w:tabs>
        <w:ind w:left="5990" w:hanging="180"/>
      </w:pPr>
    </w:lvl>
  </w:abstractNum>
  <w:abstractNum w:abstractNumId="13">
    <w:nsid w:val="640C707A"/>
    <w:multiLevelType w:val="hybridMultilevel"/>
    <w:tmpl w:val="00702CE2"/>
    <w:lvl w:ilvl="0" w:tplc="BC00FB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89E4E1F"/>
    <w:multiLevelType w:val="hybridMultilevel"/>
    <w:tmpl w:val="94ACF128"/>
    <w:lvl w:ilvl="0" w:tplc="239E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C52A0"/>
    <w:multiLevelType w:val="hybridMultilevel"/>
    <w:tmpl w:val="538CB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E3F6D"/>
    <w:multiLevelType w:val="hybridMultilevel"/>
    <w:tmpl w:val="0C009BE4"/>
    <w:lvl w:ilvl="0" w:tplc="51186C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5"/>
  </w:num>
  <w:num w:numId="8">
    <w:abstractNumId w:val="16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9"/>
  </w:num>
  <w:num w:numId="14">
    <w:abstractNumId w:val="1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290"/>
    <w:rsid w:val="00032574"/>
    <w:rsid w:val="000501CF"/>
    <w:rsid w:val="00050A8A"/>
    <w:rsid w:val="00057060"/>
    <w:rsid w:val="00062A25"/>
    <w:rsid w:val="000F7904"/>
    <w:rsid w:val="001C092B"/>
    <w:rsid w:val="001C5474"/>
    <w:rsid w:val="001E1CC9"/>
    <w:rsid w:val="001E7C59"/>
    <w:rsid w:val="002079A8"/>
    <w:rsid w:val="00226290"/>
    <w:rsid w:val="00270BE8"/>
    <w:rsid w:val="0028304D"/>
    <w:rsid w:val="002A0781"/>
    <w:rsid w:val="002B359A"/>
    <w:rsid w:val="002C5857"/>
    <w:rsid w:val="002F69B9"/>
    <w:rsid w:val="0030575B"/>
    <w:rsid w:val="00374612"/>
    <w:rsid w:val="003D5C20"/>
    <w:rsid w:val="003F02FE"/>
    <w:rsid w:val="004032B4"/>
    <w:rsid w:val="004379C6"/>
    <w:rsid w:val="00462EC1"/>
    <w:rsid w:val="0046659C"/>
    <w:rsid w:val="00483A2D"/>
    <w:rsid w:val="004A2EB4"/>
    <w:rsid w:val="00536A88"/>
    <w:rsid w:val="005438DB"/>
    <w:rsid w:val="0056524B"/>
    <w:rsid w:val="00572F8D"/>
    <w:rsid w:val="0058545D"/>
    <w:rsid w:val="00691C5A"/>
    <w:rsid w:val="006A2FA4"/>
    <w:rsid w:val="006A57EE"/>
    <w:rsid w:val="006C75F3"/>
    <w:rsid w:val="006E1355"/>
    <w:rsid w:val="006E71E6"/>
    <w:rsid w:val="006F15D4"/>
    <w:rsid w:val="007053D8"/>
    <w:rsid w:val="007520B3"/>
    <w:rsid w:val="007B477A"/>
    <w:rsid w:val="007E7785"/>
    <w:rsid w:val="00855181"/>
    <w:rsid w:val="00893CCF"/>
    <w:rsid w:val="0092073E"/>
    <w:rsid w:val="00942F13"/>
    <w:rsid w:val="00971708"/>
    <w:rsid w:val="009A2D58"/>
    <w:rsid w:val="009E00E4"/>
    <w:rsid w:val="009F5817"/>
    <w:rsid w:val="00A077B8"/>
    <w:rsid w:val="00A11355"/>
    <w:rsid w:val="00A161CC"/>
    <w:rsid w:val="00A93F70"/>
    <w:rsid w:val="00A97388"/>
    <w:rsid w:val="00AA2DE9"/>
    <w:rsid w:val="00AC4AE3"/>
    <w:rsid w:val="00AF3894"/>
    <w:rsid w:val="00B204AD"/>
    <w:rsid w:val="00BA42C9"/>
    <w:rsid w:val="00BA47C7"/>
    <w:rsid w:val="00BB4986"/>
    <w:rsid w:val="00BC336B"/>
    <w:rsid w:val="00BE49F7"/>
    <w:rsid w:val="00C051B9"/>
    <w:rsid w:val="00C06777"/>
    <w:rsid w:val="00C77519"/>
    <w:rsid w:val="00CA0CD8"/>
    <w:rsid w:val="00CA29A4"/>
    <w:rsid w:val="00CC0ED8"/>
    <w:rsid w:val="00CD3E34"/>
    <w:rsid w:val="00CD6018"/>
    <w:rsid w:val="00CF001F"/>
    <w:rsid w:val="00CF4C68"/>
    <w:rsid w:val="00CF5B3D"/>
    <w:rsid w:val="00D3555A"/>
    <w:rsid w:val="00D4636E"/>
    <w:rsid w:val="00DC4A1B"/>
    <w:rsid w:val="00DD3CE2"/>
    <w:rsid w:val="00DE2B73"/>
    <w:rsid w:val="00DE4AB1"/>
    <w:rsid w:val="00E234E8"/>
    <w:rsid w:val="00F12BA1"/>
    <w:rsid w:val="00F21CB4"/>
    <w:rsid w:val="00F6612F"/>
    <w:rsid w:val="00F7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E8"/>
  </w:style>
  <w:style w:type="paragraph" w:styleId="Heading3">
    <w:name w:val="heading 3"/>
    <w:basedOn w:val="Normal"/>
    <w:next w:val="Normal"/>
    <w:qFormat/>
    <w:rsid w:val="00E234E8"/>
    <w:pPr>
      <w:keepNext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A973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234E8"/>
    <w:rPr>
      <w:color w:val="0000FF"/>
      <w:u w:val="single"/>
    </w:rPr>
  </w:style>
  <w:style w:type="paragraph" w:styleId="Footer">
    <w:name w:val="footer"/>
    <w:basedOn w:val="Normal"/>
    <w:rsid w:val="00E234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34E8"/>
  </w:style>
  <w:style w:type="paragraph" w:customStyle="1" w:styleId="Default">
    <w:name w:val="Default"/>
    <w:rsid w:val="00E234E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E2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234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2B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6659C"/>
    <w:rPr>
      <w:color w:val="800080"/>
      <w:u w:val="single"/>
    </w:rPr>
  </w:style>
  <w:style w:type="paragraph" w:styleId="Subtitle">
    <w:name w:val="Subtitle"/>
    <w:basedOn w:val="Normal"/>
    <w:qFormat/>
    <w:rsid w:val="00CA29A4"/>
    <w:pPr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0570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TABE TO ASSESS BASIC SKILLS</vt:lpstr>
    </vt:vector>
  </TitlesOfParts>
  <Company>Houston-Galveston Area Council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the TABE to Assess Basic Skills Proficiency</dc:title>
  <dc:subject>Using the TABE to Assess Basic Skills Proficiency</dc:subject>
  <dc:creator>rogers</dc:creator>
  <cp:keywords>Using the TABE to Assess Basic Skills Proficiency</cp:keywords>
  <cp:lastModifiedBy>nguyend</cp:lastModifiedBy>
  <cp:revision>2</cp:revision>
  <cp:lastPrinted>2007-12-10T22:47:00Z</cp:lastPrinted>
  <dcterms:created xsi:type="dcterms:W3CDTF">2015-02-03T13:10:00Z</dcterms:created>
  <dcterms:modified xsi:type="dcterms:W3CDTF">2015-02-03T13:10:00Z</dcterms:modified>
  <cp:category>Expanded Standards and Guidelines</cp:category>
</cp:coreProperties>
</file>